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04E2" w:rsidRDefault="00010018">
      <w:pPr>
        <w:pStyle w:val="Header"/>
        <w:tabs>
          <w:tab w:val="right" w:pos="5954"/>
        </w:tabs>
        <w:spacing w:after="240"/>
        <w:jc w:val="right"/>
      </w:pPr>
      <w:r>
        <w:rPr>
          <w:rFonts w:ascii="Calibri" w:hAnsi="Calibri"/>
        </w:rPr>
        <w:tab/>
      </w:r>
      <w:r>
        <w:rPr>
          <w:rFonts w:ascii="Calibri" w:hAnsi="Calibri"/>
        </w:rPr>
        <w:tab/>
      </w:r>
      <w:r>
        <w:rPr>
          <w:rFonts w:ascii="Calibri" w:hAnsi="Calibri"/>
        </w:rPr>
        <w:tab/>
        <w:t>Reference: ENAV</w:t>
      </w:r>
      <w:r w:rsidR="00AC10A5">
        <w:rPr>
          <w:rFonts w:ascii="Calibri" w:hAnsi="Calibri"/>
        </w:rPr>
        <w:t>19-14.1.6</w:t>
      </w:r>
      <w:bookmarkStart w:id="0" w:name="_GoBack"/>
      <w:bookmarkEnd w:id="0"/>
    </w:p>
    <w:p w:rsidR="006904E2" w:rsidRDefault="00010018">
      <w:pPr>
        <w:pStyle w:val="Heading1"/>
        <w:numPr>
          <w:ilvl w:val="0"/>
          <w:numId w:val="2"/>
        </w:numPr>
        <w:rPr>
          <w:rFonts w:ascii="Calibri" w:hAnsi="Calibri"/>
        </w:rPr>
      </w:pPr>
      <w:r>
        <w:rPr>
          <w:rFonts w:ascii="Calibri" w:hAnsi="Calibri"/>
        </w:rPr>
        <w:t>Purpose</w:t>
      </w:r>
    </w:p>
    <w:p w:rsidR="006904E2" w:rsidRDefault="00010018">
      <w:pPr>
        <w:pStyle w:val="BodyText"/>
        <w:tabs>
          <w:tab w:val="left" w:pos="2835"/>
        </w:tabs>
        <w:rPr>
          <w:rFonts w:ascii="Calibri" w:hAnsi="Calibri"/>
        </w:rPr>
      </w:pPr>
      <w:r>
        <w:rPr>
          <w:rFonts w:ascii="Calibri" w:hAnsi="Calibri"/>
        </w:rPr>
        <w:t xml:space="preserve">This document should be used to submit proposals for additions, amendments or deletions of terms in the International Dictionary of Marine Aids to Navigation (Dictionary). Proposals will be considered by the Dictionary Working Group (DWG) of the IALA Policy Advisory Panel (PAP) and the Dictionary will be amended if the proposal(s) is approved. </w:t>
      </w:r>
    </w:p>
    <w:p w:rsidR="006904E2" w:rsidRDefault="00010018">
      <w:pPr>
        <w:pStyle w:val="Heading1"/>
        <w:numPr>
          <w:ilvl w:val="0"/>
          <w:numId w:val="2"/>
        </w:numPr>
        <w:rPr>
          <w:rFonts w:ascii="Calibri" w:hAnsi="Calibri"/>
        </w:rPr>
      </w:pPr>
      <w:r>
        <w:rPr>
          <w:rFonts w:ascii="Calibri" w:hAnsi="Calibri"/>
        </w:rPr>
        <w:t>Proposed amendment of the Dictionary</w:t>
      </w:r>
    </w:p>
    <w:p w:rsidR="006904E2" w:rsidRDefault="00010018">
      <w:pPr>
        <w:pStyle w:val="BodyText"/>
        <w:tabs>
          <w:tab w:val="left" w:pos="2835"/>
        </w:tabs>
        <w:rPr>
          <w:rFonts w:ascii="Calibri" w:hAnsi="Calibri"/>
        </w:rPr>
      </w:pPr>
      <w:r>
        <w:rPr>
          <w:rFonts w:ascii="Calibri" w:hAnsi="Calibri"/>
        </w:rPr>
        <w:t>Please use the following table to submit proposals for additions, amendments or deletions of terms in the Dictionary.</w:t>
      </w:r>
    </w:p>
    <w:tbl>
      <w:tblPr>
        <w:tblStyle w:val="TableGrid"/>
        <w:tblW w:w="14786" w:type="dxa"/>
        <w:tblInd w:w="-5" w:type="dxa"/>
        <w:tblCellMar>
          <w:left w:w="23" w:type="dxa"/>
          <w:right w:w="28" w:type="dxa"/>
        </w:tblCellMar>
        <w:tblLook w:val="04A0" w:firstRow="1" w:lastRow="0" w:firstColumn="1" w:lastColumn="0" w:noHBand="0" w:noVBand="1"/>
      </w:tblPr>
      <w:tblGrid>
        <w:gridCol w:w="1365"/>
        <w:gridCol w:w="960"/>
        <w:gridCol w:w="1921"/>
        <w:gridCol w:w="975"/>
        <w:gridCol w:w="4366"/>
        <w:gridCol w:w="1081"/>
        <w:gridCol w:w="1125"/>
        <w:gridCol w:w="997"/>
        <w:gridCol w:w="1072"/>
        <w:gridCol w:w="924"/>
      </w:tblGrid>
      <w:tr w:rsidR="006904E2">
        <w:tc>
          <w:tcPr>
            <w:tcW w:w="1364" w:type="dxa"/>
            <w:tcBorders>
              <w:bottom w:val="thickThinSmallGap" w:sz="24" w:space="0" w:color="000001"/>
            </w:tcBorders>
            <w:shd w:val="clear" w:color="auto" w:fill="365F91" w:themeFill="accent1" w:themeFillShade="BF"/>
            <w:tcMar>
              <w:left w:w="23" w:type="dxa"/>
            </w:tcMar>
            <w:vAlign w:val="center"/>
          </w:tcPr>
          <w:p w:rsidR="006904E2" w:rsidRDefault="00010018">
            <w:pPr>
              <w:pStyle w:val="BodyText"/>
              <w:jc w:val="center"/>
            </w:pPr>
            <w:r>
              <w:rPr>
                <w:rFonts w:ascii="Calibri" w:hAnsi="Calibri"/>
                <w:b/>
                <w:color w:val="FFFFFF" w:themeColor="background1"/>
                <w:sz w:val="20"/>
                <w:szCs w:val="20"/>
              </w:rPr>
              <w:t>Term</w:t>
            </w:r>
          </w:p>
        </w:tc>
        <w:tc>
          <w:tcPr>
            <w:tcW w:w="960" w:type="dxa"/>
            <w:tcBorders>
              <w:bottom w:val="thickThinSmallGap" w:sz="24" w:space="0" w:color="000001"/>
            </w:tcBorders>
            <w:shd w:val="clear" w:color="auto" w:fill="365F91" w:themeFill="accent1" w:themeFillShade="BF"/>
            <w:tcMar>
              <w:left w:w="23" w:type="dxa"/>
            </w:tcMar>
            <w:vAlign w:val="center"/>
          </w:tcPr>
          <w:p w:rsidR="006904E2" w:rsidRDefault="00010018">
            <w:pPr>
              <w:pStyle w:val="BodyText"/>
              <w:jc w:val="center"/>
              <w:rPr>
                <w:rFonts w:ascii="Calibri" w:hAnsi="Calibri"/>
                <w:b/>
                <w:color w:val="FFFFFF" w:themeColor="background1"/>
                <w:sz w:val="20"/>
                <w:szCs w:val="20"/>
              </w:rPr>
            </w:pPr>
            <w:r>
              <w:rPr>
                <w:rFonts w:ascii="Calibri" w:hAnsi="Calibri"/>
                <w:b/>
                <w:color w:val="FFFFFF" w:themeColor="background1"/>
                <w:sz w:val="20"/>
                <w:szCs w:val="20"/>
              </w:rPr>
              <w:t>Dictionary Number</w:t>
            </w:r>
          </w:p>
        </w:tc>
        <w:tc>
          <w:tcPr>
            <w:tcW w:w="1921" w:type="dxa"/>
            <w:tcBorders>
              <w:bottom w:val="thickThinSmallGap" w:sz="24" w:space="0" w:color="000001"/>
            </w:tcBorders>
            <w:shd w:val="clear" w:color="auto" w:fill="365F91" w:themeFill="accent1" w:themeFillShade="BF"/>
            <w:tcMar>
              <w:left w:w="23" w:type="dxa"/>
            </w:tcMar>
            <w:vAlign w:val="center"/>
          </w:tcPr>
          <w:p w:rsidR="006904E2" w:rsidRDefault="00010018">
            <w:pPr>
              <w:pStyle w:val="BodyText"/>
              <w:jc w:val="center"/>
              <w:rPr>
                <w:rFonts w:ascii="Calibri" w:hAnsi="Calibri"/>
                <w:b/>
                <w:color w:val="FFFFFF" w:themeColor="background1"/>
                <w:sz w:val="24"/>
                <w:szCs w:val="24"/>
              </w:rPr>
            </w:pPr>
            <w:r>
              <w:rPr>
                <w:rFonts w:ascii="Calibri" w:hAnsi="Calibri"/>
                <w:b/>
                <w:color w:val="FFFFFF" w:themeColor="background1"/>
                <w:sz w:val="24"/>
                <w:szCs w:val="24"/>
              </w:rPr>
              <w:t>Source</w:t>
            </w:r>
          </w:p>
          <w:p w:rsidR="006904E2" w:rsidRDefault="00010018">
            <w:pPr>
              <w:pStyle w:val="BodyText"/>
              <w:spacing w:after="0"/>
              <w:jc w:val="center"/>
              <w:rPr>
                <w:rFonts w:ascii="Calibri" w:hAnsi="Calibri"/>
                <w:b/>
                <w:color w:val="FFFFFF" w:themeColor="background1"/>
                <w:sz w:val="18"/>
                <w:szCs w:val="18"/>
              </w:rPr>
            </w:pPr>
            <w:r>
              <w:rPr>
                <w:rFonts w:ascii="Calibri" w:hAnsi="Calibri"/>
                <w:b/>
                <w:color w:val="FFFFFF" w:themeColor="background1"/>
                <w:sz w:val="18"/>
                <w:szCs w:val="18"/>
              </w:rPr>
              <w:t>(meeting/</w:t>
            </w:r>
          </w:p>
          <w:p w:rsidR="006904E2" w:rsidRDefault="00010018">
            <w:pPr>
              <w:pStyle w:val="BodyText"/>
              <w:spacing w:after="0"/>
              <w:jc w:val="center"/>
              <w:rPr>
                <w:rFonts w:ascii="Calibri" w:hAnsi="Calibri"/>
                <w:b/>
                <w:color w:val="FFFFFF" w:themeColor="background1"/>
                <w:sz w:val="18"/>
                <w:szCs w:val="18"/>
              </w:rPr>
            </w:pPr>
            <w:r>
              <w:rPr>
                <w:rFonts w:ascii="Calibri" w:hAnsi="Calibri"/>
                <w:b/>
                <w:color w:val="FFFFFF" w:themeColor="background1"/>
                <w:sz w:val="18"/>
                <w:szCs w:val="18"/>
              </w:rPr>
              <w:t>document/</w:t>
            </w:r>
          </w:p>
          <w:p w:rsidR="006904E2" w:rsidRDefault="00010018">
            <w:pPr>
              <w:pStyle w:val="BodyText"/>
              <w:spacing w:after="0"/>
              <w:jc w:val="center"/>
              <w:rPr>
                <w:rFonts w:ascii="Calibri" w:hAnsi="Calibri"/>
                <w:b/>
                <w:color w:val="FFFFFF" w:themeColor="background1"/>
                <w:sz w:val="24"/>
                <w:szCs w:val="24"/>
              </w:rPr>
            </w:pPr>
            <w:r>
              <w:rPr>
                <w:rFonts w:ascii="Calibri" w:hAnsi="Calibri"/>
                <w:b/>
                <w:color w:val="FFFFFF" w:themeColor="background1"/>
                <w:sz w:val="18"/>
                <w:szCs w:val="18"/>
              </w:rPr>
              <w:t>person)</w:t>
            </w:r>
          </w:p>
        </w:tc>
        <w:tc>
          <w:tcPr>
            <w:tcW w:w="975" w:type="dxa"/>
            <w:tcBorders>
              <w:bottom w:val="thickThinSmallGap" w:sz="24" w:space="0" w:color="000001"/>
            </w:tcBorders>
            <w:shd w:val="clear" w:color="auto" w:fill="365F91" w:themeFill="accent1" w:themeFillShade="BF"/>
            <w:tcMar>
              <w:left w:w="23" w:type="dxa"/>
            </w:tcMar>
            <w:vAlign w:val="center"/>
          </w:tcPr>
          <w:p w:rsidR="006904E2" w:rsidRDefault="00010018">
            <w:pPr>
              <w:pStyle w:val="BodyText"/>
              <w:jc w:val="center"/>
              <w:rPr>
                <w:rFonts w:ascii="Calibri" w:hAnsi="Calibri"/>
                <w:b/>
                <w:color w:val="FFFFFF" w:themeColor="background1"/>
                <w:sz w:val="20"/>
                <w:szCs w:val="20"/>
              </w:rPr>
            </w:pPr>
            <w:r>
              <w:rPr>
                <w:rFonts w:ascii="Calibri" w:hAnsi="Calibri"/>
                <w:b/>
                <w:color w:val="FFFFFF" w:themeColor="background1"/>
                <w:sz w:val="20"/>
                <w:szCs w:val="20"/>
              </w:rPr>
              <w:t>Old definition</w:t>
            </w:r>
          </w:p>
        </w:tc>
        <w:tc>
          <w:tcPr>
            <w:tcW w:w="4365" w:type="dxa"/>
            <w:tcBorders>
              <w:bottom w:val="thickThinSmallGap" w:sz="24" w:space="0" w:color="000001"/>
            </w:tcBorders>
            <w:shd w:val="clear" w:color="auto" w:fill="365F91" w:themeFill="accent1" w:themeFillShade="BF"/>
            <w:tcMar>
              <w:left w:w="23" w:type="dxa"/>
            </w:tcMar>
            <w:vAlign w:val="center"/>
          </w:tcPr>
          <w:p w:rsidR="006904E2" w:rsidRDefault="00010018">
            <w:pPr>
              <w:pStyle w:val="BodyText"/>
              <w:jc w:val="center"/>
              <w:rPr>
                <w:rFonts w:ascii="Calibri" w:hAnsi="Calibri"/>
                <w:b/>
                <w:color w:val="FFFFFF" w:themeColor="background1"/>
                <w:sz w:val="20"/>
                <w:szCs w:val="20"/>
              </w:rPr>
            </w:pPr>
            <w:r>
              <w:rPr>
                <w:rFonts w:ascii="Calibri" w:hAnsi="Calibri"/>
                <w:b/>
                <w:color w:val="FFFFFF" w:themeColor="background1"/>
                <w:sz w:val="20"/>
                <w:szCs w:val="20"/>
              </w:rPr>
              <w:t>Proposed definition</w:t>
            </w:r>
          </w:p>
          <w:p w:rsidR="006904E2" w:rsidRDefault="00010018">
            <w:pPr>
              <w:pStyle w:val="BodyText"/>
              <w:jc w:val="center"/>
              <w:rPr>
                <w:rFonts w:ascii="Calibri" w:hAnsi="Calibri"/>
                <w:b/>
                <w:color w:val="FFFFFF" w:themeColor="background1"/>
                <w:sz w:val="20"/>
                <w:szCs w:val="20"/>
              </w:rPr>
            </w:pPr>
            <w:r>
              <w:rPr>
                <w:rFonts w:ascii="Calibri" w:hAnsi="Calibri"/>
                <w:b/>
                <w:color w:val="FFFFFF" w:themeColor="background1"/>
                <w:sz w:val="20"/>
                <w:szCs w:val="20"/>
              </w:rPr>
              <w:t>English</w:t>
            </w:r>
          </w:p>
        </w:tc>
        <w:tc>
          <w:tcPr>
            <w:tcW w:w="1081" w:type="dxa"/>
            <w:tcBorders>
              <w:bottom w:val="thickThinSmallGap" w:sz="24" w:space="0" w:color="000001"/>
            </w:tcBorders>
            <w:shd w:val="clear" w:color="auto" w:fill="365F91" w:themeFill="accent1" w:themeFillShade="BF"/>
            <w:tcMar>
              <w:left w:w="23" w:type="dxa"/>
            </w:tcMar>
            <w:vAlign w:val="center"/>
          </w:tcPr>
          <w:p w:rsidR="006904E2" w:rsidRDefault="00010018">
            <w:pPr>
              <w:pStyle w:val="BodyText"/>
              <w:jc w:val="center"/>
              <w:rPr>
                <w:rFonts w:ascii="Calibri" w:hAnsi="Calibri"/>
                <w:b/>
                <w:color w:val="FFFFFF" w:themeColor="background1"/>
                <w:sz w:val="20"/>
                <w:szCs w:val="20"/>
              </w:rPr>
            </w:pPr>
            <w:r>
              <w:rPr>
                <w:rFonts w:ascii="Calibri" w:hAnsi="Calibri"/>
                <w:b/>
                <w:color w:val="FFFFFF" w:themeColor="background1"/>
                <w:sz w:val="20"/>
                <w:szCs w:val="20"/>
              </w:rPr>
              <w:t>Proposed definition</w:t>
            </w:r>
          </w:p>
          <w:p w:rsidR="006904E2" w:rsidRDefault="00010018">
            <w:pPr>
              <w:pStyle w:val="BodyText"/>
              <w:jc w:val="center"/>
              <w:rPr>
                <w:rFonts w:ascii="Calibri" w:hAnsi="Calibri"/>
                <w:b/>
                <w:color w:val="FFFFFF" w:themeColor="background1"/>
                <w:sz w:val="20"/>
                <w:szCs w:val="20"/>
              </w:rPr>
            </w:pPr>
            <w:r>
              <w:rPr>
                <w:rFonts w:ascii="Calibri" w:hAnsi="Calibri"/>
                <w:b/>
                <w:color w:val="FFFFFF" w:themeColor="background1"/>
                <w:sz w:val="20"/>
                <w:szCs w:val="20"/>
              </w:rPr>
              <w:t>French</w:t>
            </w:r>
          </w:p>
        </w:tc>
        <w:tc>
          <w:tcPr>
            <w:tcW w:w="1125" w:type="dxa"/>
            <w:tcBorders>
              <w:bottom w:val="thickThinSmallGap" w:sz="24" w:space="0" w:color="000001"/>
            </w:tcBorders>
            <w:shd w:val="clear" w:color="auto" w:fill="365F91" w:themeFill="accent1" w:themeFillShade="BF"/>
            <w:tcMar>
              <w:left w:w="23" w:type="dxa"/>
            </w:tcMar>
            <w:vAlign w:val="center"/>
          </w:tcPr>
          <w:p w:rsidR="006904E2" w:rsidRDefault="00010018">
            <w:pPr>
              <w:pStyle w:val="BodyText"/>
              <w:jc w:val="center"/>
              <w:rPr>
                <w:rFonts w:ascii="Calibri" w:hAnsi="Calibri"/>
                <w:b/>
                <w:color w:val="FFFFFF" w:themeColor="background1"/>
                <w:sz w:val="20"/>
                <w:szCs w:val="20"/>
              </w:rPr>
            </w:pPr>
            <w:r>
              <w:rPr>
                <w:rFonts w:ascii="Calibri" w:hAnsi="Calibri"/>
                <w:b/>
                <w:color w:val="FFFFFF" w:themeColor="background1"/>
                <w:sz w:val="20"/>
                <w:szCs w:val="20"/>
              </w:rPr>
              <w:t>Proposed definition</w:t>
            </w:r>
          </w:p>
          <w:p w:rsidR="006904E2" w:rsidRDefault="00010018">
            <w:pPr>
              <w:pStyle w:val="BodyText"/>
              <w:jc w:val="center"/>
              <w:rPr>
                <w:rFonts w:ascii="Calibri" w:hAnsi="Calibri"/>
                <w:b/>
                <w:color w:val="FFFFFF" w:themeColor="background1"/>
                <w:sz w:val="20"/>
                <w:szCs w:val="20"/>
              </w:rPr>
            </w:pPr>
            <w:r>
              <w:rPr>
                <w:rFonts w:ascii="Calibri" w:hAnsi="Calibri"/>
                <w:b/>
                <w:color w:val="FFFFFF" w:themeColor="background1"/>
                <w:sz w:val="20"/>
                <w:szCs w:val="20"/>
              </w:rPr>
              <w:t>Spanish</w:t>
            </w:r>
          </w:p>
        </w:tc>
        <w:tc>
          <w:tcPr>
            <w:tcW w:w="997" w:type="dxa"/>
            <w:tcBorders>
              <w:bottom w:val="thickThinSmallGap" w:sz="24" w:space="0" w:color="000001"/>
            </w:tcBorders>
            <w:shd w:val="clear" w:color="auto" w:fill="365F91" w:themeFill="accent1" w:themeFillShade="BF"/>
            <w:tcMar>
              <w:left w:w="23" w:type="dxa"/>
            </w:tcMar>
            <w:vAlign w:val="center"/>
          </w:tcPr>
          <w:p w:rsidR="006904E2" w:rsidRDefault="00010018">
            <w:pPr>
              <w:pStyle w:val="BodyText"/>
              <w:jc w:val="center"/>
              <w:rPr>
                <w:rFonts w:ascii="Calibri" w:hAnsi="Calibri"/>
                <w:b/>
                <w:color w:val="FFFFFF" w:themeColor="background1"/>
                <w:sz w:val="20"/>
                <w:szCs w:val="20"/>
              </w:rPr>
            </w:pPr>
            <w:r>
              <w:rPr>
                <w:rFonts w:ascii="Calibri" w:hAnsi="Calibri"/>
                <w:b/>
                <w:color w:val="FFFFFF" w:themeColor="background1"/>
                <w:sz w:val="20"/>
                <w:szCs w:val="20"/>
              </w:rPr>
              <w:t>Reason for change</w:t>
            </w:r>
          </w:p>
        </w:tc>
        <w:tc>
          <w:tcPr>
            <w:tcW w:w="1072" w:type="dxa"/>
            <w:tcBorders>
              <w:bottom w:val="thickThinSmallGap" w:sz="24" w:space="0" w:color="000001"/>
            </w:tcBorders>
            <w:shd w:val="clear" w:color="auto" w:fill="365F91" w:themeFill="accent1" w:themeFillShade="BF"/>
            <w:tcMar>
              <w:left w:w="23" w:type="dxa"/>
            </w:tcMar>
            <w:vAlign w:val="center"/>
          </w:tcPr>
          <w:p w:rsidR="006904E2" w:rsidRDefault="00010018">
            <w:pPr>
              <w:pStyle w:val="BodyText"/>
              <w:jc w:val="center"/>
              <w:rPr>
                <w:rFonts w:ascii="Calibri" w:hAnsi="Calibri"/>
                <w:b/>
                <w:color w:val="FFFFFF" w:themeColor="background1"/>
                <w:sz w:val="20"/>
                <w:szCs w:val="20"/>
              </w:rPr>
            </w:pPr>
            <w:r>
              <w:rPr>
                <w:rFonts w:ascii="Calibri" w:hAnsi="Calibri"/>
                <w:b/>
                <w:color w:val="FFFFFF" w:themeColor="background1"/>
                <w:sz w:val="20"/>
                <w:szCs w:val="20"/>
              </w:rPr>
              <w:t>Date</w:t>
            </w:r>
          </w:p>
        </w:tc>
        <w:tc>
          <w:tcPr>
            <w:tcW w:w="924" w:type="dxa"/>
            <w:tcBorders>
              <w:bottom w:val="thickThinSmallGap" w:sz="24" w:space="0" w:color="000001"/>
            </w:tcBorders>
            <w:shd w:val="clear" w:color="auto" w:fill="365F91" w:themeFill="accent1" w:themeFillShade="BF"/>
            <w:tcMar>
              <w:left w:w="23" w:type="dxa"/>
            </w:tcMar>
            <w:vAlign w:val="center"/>
          </w:tcPr>
          <w:p w:rsidR="006904E2" w:rsidRDefault="00010018">
            <w:pPr>
              <w:pStyle w:val="BodyText"/>
              <w:jc w:val="center"/>
              <w:rPr>
                <w:rFonts w:ascii="Calibri" w:hAnsi="Calibri"/>
                <w:b/>
                <w:color w:val="FFFFFF" w:themeColor="background1"/>
                <w:sz w:val="20"/>
                <w:szCs w:val="20"/>
              </w:rPr>
            </w:pPr>
            <w:r>
              <w:rPr>
                <w:rFonts w:ascii="Calibri" w:hAnsi="Calibri"/>
                <w:b/>
                <w:color w:val="FFFFFF" w:themeColor="background1"/>
                <w:sz w:val="20"/>
                <w:szCs w:val="20"/>
              </w:rPr>
              <w:t>Accept</w:t>
            </w:r>
          </w:p>
          <w:p w:rsidR="006904E2" w:rsidRDefault="00010018">
            <w:pPr>
              <w:pStyle w:val="BodyText"/>
              <w:jc w:val="center"/>
              <w:rPr>
                <w:rFonts w:ascii="Calibri" w:hAnsi="Calibri"/>
                <w:b/>
                <w:color w:val="FFFFFF" w:themeColor="background1"/>
                <w:sz w:val="20"/>
                <w:szCs w:val="20"/>
              </w:rPr>
            </w:pPr>
            <w:r>
              <w:rPr>
                <w:rFonts w:ascii="Calibri" w:hAnsi="Calibri"/>
                <w:b/>
                <w:color w:val="FFFFFF" w:themeColor="background1"/>
                <w:sz w:val="20"/>
                <w:szCs w:val="20"/>
              </w:rPr>
              <w:t>Reject</w:t>
            </w:r>
          </w:p>
        </w:tc>
      </w:tr>
      <w:tr w:rsidR="006904E2">
        <w:tc>
          <w:tcPr>
            <w:tcW w:w="1364" w:type="dxa"/>
            <w:tcBorders>
              <w:top w:val="thickThinSmallGap" w:sz="24" w:space="0" w:color="000001"/>
            </w:tcBorders>
            <w:shd w:val="clear" w:color="auto" w:fill="FFFFFF" w:themeFill="background1"/>
            <w:tcMar>
              <w:left w:w="23" w:type="dxa"/>
            </w:tcMar>
            <w:vAlign w:val="center"/>
          </w:tcPr>
          <w:p w:rsidR="006904E2" w:rsidRDefault="00010018">
            <w:pPr>
              <w:pStyle w:val="BodyText"/>
              <w:jc w:val="left"/>
            </w:pPr>
            <w:r>
              <w:rPr>
                <w:rFonts w:asciiTheme="minorHAnsi" w:hAnsiTheme="minorHAnsi"/>
                <w:sz w:val="20"/>
                <w:szCs w:val="20"/>
              </w:rPr>
              <w:t>Service Oriented Architecture (SOA)</w:t>
            </w:r>
          </w:p>
        </w:tc>
        <w:tc>
          <w:tcPr>
            <w:tcW w:w="960" w:type="dxa"/>
            <w:tcBorders>
              <w:top w:val="thickThinSmallGap" w:sz="24" w:space="0" w:color="000001"/>
            </w:tcBorders>
            <w:shd w:val="clear" w:color="auto" w:fill="FFFFFF" w:themeFill="background1"/>
            <w:tcMar>
              <w:left w:w="23" w:type="dxa"/>
            </w:tcMar>
            <w:vAlign w:val="center"/>
          </w:tcPr>
          <w:p w:rsidR="006904E2" w:rsidRDefault="00010018">
            <w:pPr>
              <w:pStyle w:val="BodyText"/>
              <w:jc w:val="center"/>
            </w:pPr>
            <w:r>
              <w:rPr>
                <w:rFonts w:asciiTheme="minorHAnsi" w:hAnsiTheme="minorHAnsi"/>
                <w:sz w:val="20"/>
                <w:szCs w:val="20"/>
              </w:rPr>
              <w:t>-</w:t>
            </w:r>
          </w:p>
        </w:tc>
        <w:tc>
          <w:tcPr>
            <w:tcW w:w="1921" w:type="dxa"/>
            <w:tcBorders>
              <w:top w:val="thickThinSmallGap" w:sz="24" w:space="0" w:color="000001"/>
            </w:tcBorders>
            <w:shd w:val="clear" w:color="auto" w:fill="FFFFFF" w:themeFill="background1"/>
            <w:tcMar>
              <w:left w:w="23" w:type="dxa"/>
            </w:tcMar>
            <w:vAlign w:val="center"/>
          </w:tcPr>
          <w:p w:rsidR="006904E2" w:rsidRDefault="00010018">
            <w:pPr>
              <w:pStyle w:val="BodyText"/>
              <w:jc w:val="center"/>
            </w:pPr>
            <w:r>
              <w:rPr>
                <w:rFonts w:asciiTheme="minorHAnsi" w:hAnsiTheme="minorHAnsi"/>
                <w:sz w:val="20"/>
                <w:szCs w:val="20"/>
              </w:rPr>
              <w:t>IALA Rec e-NAV140 (Ed. 2), Recommends No. 1</w:t>
            </w:r>
          </w:p>
        </w:tc>
        <w:tc>
          <w:tcPr>
            <w:tcW w:w="975" w:type="dxa"/>
            <w:tcBorders>
              <w:top w:val="thickThinSmallGap" w:sz="24" w:space="0" w:color="000001"/>
            </w:tcBorders>
            <w:shd w:val="clear" w:color="auto" w:fill="FFFFFF" w:themeFill="background1"/>
            <w:tcMar>
              <w:left w:w="23" w:type="dxa"/>
            </w:tcMar>
            <w:vAlign w:val="center"/>
          </w:tcPr>
          <w:p w:rsidR="006904E2" w:rsidRDefault="00010018">
            <w:pPr>
              <w:pStyle w:val="BodyText"/>
              <w:jc w:val="center"/>
            </w:pPr>
            <w:r>
              <w:rPr>
                <w:rFonts w:asciiTheme="minorHAnsi" w:hAnsiTheme="minorHAnsi"/>
                <w:sz w:val="20"/>
                <w:szCs w:val="20"/>
              </w:rPr>
              <w:t>-</w:t>
            </w:r>
          </w:p>
        </w:tc>
        <w:tc>
          <w:tcPr>
            <w:tcW w:w="4365" w:type="dxa"/>
            <w:tcBorders>
              <w:top w:val="thickThinSmallGap" w:sz="24" w:space="0" w:color="000001"/>
            </w:tcBorders>
            <w:shd w:val="clear" w:color="auto" w:fill="FFFFFF" w:themeFill="background1"/>
            <w:tcMar>
              <w:left w:w="23" w:type="dxa"/>
            </w:tcMar>
            <w:vAlign w:val="center"/>
          </w:tcPr>
          <w:p w:rsidR="006904E2" w:rsidRDefault="00010018">
            <w:pPr>
              <w:pStyle w:val="BodyText"/>
              <w:spacing w:after="0"/>
            </w:pPr>
            <w:r>
              <w:rPr>
                <w:rFonts w:asciiTheme="minorHAnsi" w:hAnsiTheme="minorHAnsi"/>
                <w:sz w:val="20"/>
                <w:szCs w:val="20"/>
              </w:rPr>
              <w:t xml:space="preserve">A SOA is a design pattern in which application components provide services to other components via a communications protocol </w:t>
            </w:r>
          </w:p>
          <w:p w:rsidR="006904E2" w:rsidRDefault="00010018">
            <w:pPr>
              <w:pStyle w:val="BodyText"/>
              <w:spacing w:after="0"/>
              <w:jc w:val="left"/>
            </w:pPr>
            <w:proofErr w:type="gramStart"/>
            <w:r>
              <w:rPr>
                <w:rFonts w:asciiTheme="minorHAnsi" w:hAnsiTheme="minorHAnsi"/>
                <w:sz w:val="20"/>
                <w:szCs w:val="20"/>
              </w:rPr>
              <w:t>typically</w:t>
            </w:r>
            <w:proofErr w:type="gramEnd"/>
            <w:r>
              <w:rPr>
                <w:rFonts w:asciiTheme="minorHAnsi" w:hAnsiTheme="minorHAnsi"/>
                <w:sz w:val="20"/>
                <w:szCs w:val="20"/>
              </w:rPr>
              <w:t xml:space="preserve"> over a network.</w:t>
            </w:r>
          </w:p>
        </w:tc>
        <w:tc>
          <w:tcPr>
            <w:tcW w:w="1081" w:type="dxa"/>
            <w:tcBorders>
              <w:top w:val="thickThinSmallGap" w:sz="24" w:space="0" w:color="000001"/>
            </w:tcBorders>
            <w:shd w:val="clear" w:color="auto" w:fill="FFFFFF" w:themeFill="background1"/>
            <w:tcMar>
              <w:left w:w="23" w:type="dxa"/>
            </w:tcMar>
            <w:vAlign w:val="center"/>
          </w:tcPr>
          <w:p w:rsidR="006904E2" w:rsidRDefault="006904E2">
            <w:pPr>
              <w:pStyle w:val="BodyText"/>
              <w:jc w:val="left"/>
              <w:rPr>
                <w:rFonts w:asciiTheme="minorHAnsi" w:hAnsiTheme="minorHAnsi"/>
                <w:sz w:val="20"/>
                <w:szCs w:val="20"/>
              </w:rPr>
            </w:pPr>
          </w:p>
        </w:tc>
        <w:tc>
          <w:tcPr>
            <w:tcW w:w="1125" w:type="dxa"/>
            <w:tcBorders>
              <w:top w:val="thickThinSmallGap" w:sz="24" w:space="0" w:color="000001"/>
            </w:tcBorders>
            <w:shd w:val="clear" w:color="auto" w:fill="FFFFFF" w:themeFill="background1"/>
            <w:tcMar>
              <w:left w:w="23" w:type="dxa"/>
            </w:tcMar>
            <w:vAlign w:val="center"/>
          </w:tcPr>
          <w:p w:rsidR="006904E2" w:rsidRDefault="006904E2">
            <w:pPr>
              <w:pStyle w:val="BodyText"/>
              <w:jc w:val="left"/>
              <w:rPr>
                <w:rFonts w:asciiTheme="minorHAnsi" w:hAnsiTheme="minorHAnsi"/>
                <w:sz w:val="20"/>
                <w:szCs w:val="20"/>
              </w:rPr>
            </w:pPr>
          </w:p>
        </w:tc>
        <w:tc>
          <w:tcPr>
            <w:tcW w:w="997" w:type="dxa"/>
            <w:tcBorders>
              <w:top w:val="thickThinSmallGap" w:sz="24" w:space="0" w:color="000001"/>
            </w:tcBorders>
            <w:shd w:val="clear" w:color="auto" w:fill="FFFFFF" w:themeFill="background1"/>
            <w:tcMar>
              <w:left w:w="23" w:type="dxa"/>
            </w:tcMar>
            <w:vAlign w:val="center"/>
          </w:tcPr>
          <w:p w:rsidR="006904E2" w:rsidRDefault="00010018">
            <w:pPr>
              <w:pStyle w:val="BodyText"/>
              <w:jc w:val="left"/>
            </w:pPr>
            <w:r>
              <w:rPr>
                <w:rFonts w:asciiTheme="minorHAnsi" w:hAnsiTheme="minorHAnsi"/>
                <w:sz w:val="20"/>
                <w:szCs w:val="20"/>
              </w:rPr>
              <w:t xml:space="preserve">New term </w:t>
            </w:r>
          </w:p>
        </w:tc>
        <w:tc>
          <w:tcPr>
            <w:tcW w:w="1072" w:type="dxa"/>
            <w:tcBorders>
              <w:top w:val="thickThinSmallGap" w:sz="24" w:space="0" w:color="000001"/>
            </w:tcBorders>
            <w:shd w:val="clear" w:color="auto" w:fill="FFFFFF" w:themeFill="background1"/>
            <w:tcMar>
              <w:left w:w="23" w:type="dxa"/>
            </w:tcMar>
            <w:vAlign w:val="center"/>
          </w:tcPr>
          <w:p w:rsidR="006904E2" w:rsidRDefault="00010018">
            <w:pPr>
              <w:pStyle w:val="BodyText"/>
              <w:jc w:val="left"/>
            </w:pPr>
            <w:r>
              <w:rPr>
                <w:rFonts w:asciiTheme="minorHAnsi" w:hAnsiTheme="minorHAnsi"/>
                <w:sz w:val="20"/>
                <w:szCs w:val="20"/>
              </w:rPr>
              <w:t>May 2015</w:t>
            </w:r>
          </w:p>
        </w:tc>
        <w:tc>
          <w:tcPr>
            <w:tcW w:w="924" w:type="dxa"/>
            <w:tcBorders>
              <w:top w:val="thickThinSmallGap" w:sz="24" w:space="0" w:color="000001"/>
            </w:tcBorders>
            <w:shd w:val="clear" w:color="auto" w:fill="FFFFFF" w:themeFill="background1"/>
            <w:tcMar>
              <w:left w:w="23" w:type="dxa"/>
            </w:tcMar>
            <w:vAlign w:val="center"/>
          </w:tcPr>
          <w:p w:rsidR="006904E2" w:rsidRDefault="00010018">
            <w:pPr>
              <w:pStyle w:val="BodyText"/>
              <w:rPr>
                <w:rFonts w:asciiTheme="minorHAnsi" w:hAnsiTheme="minorHAnsi"/>
                <w:sz w:val="20"/>
                <w:szCs w:val="20"/>
              </w:rPr>
            </w:pPr>
            <w:r>
              <w:rPr>
                <w:rFonts w:asciiTheme="minorHAnsi" w:hAnsiTheme="minorHAnsi"/>
                <w:sz w:val="20"/>
                <w:szCs w:val="20"/>
              </w:rPr>
              <w:t>IALA Council approved</w:t>
            </w:r>
          </w:p>
        </w:tc>
      </w:tr>
      <w:tr w:rsidR="006904E2">
        <w:tc>
          <w:tcPr>
            <w:tcW w:w="1364" w:type="dxa"/>
            <w:shd w:val="clear" w:color="auto" w:fill="FFFFFF" w:themeFill="background1"/>
            <w:tcMar>
              <w:left w:w="23" w:type="dxa"/>
            </w:tcMar>
            <w:vAlign w:val="center"/>
          </w:tcPr>
          <w:p w:rsidR="006904E2" w:rsidRDefault="00010018">
            <w:pPr>
              <w:pStyle w:val="BodyText"/>
            </w:pPr>
            <w:r>
              <w:rPr>
                <w:rFonts w:asciiTheme="minorHAnsi" w:hAnsiTheme="minorHAnsi"/>
                <w:sz w:val="20"/>
                <w:szCs w:val="20"/>
              </w:rPr>
              <w:t>Encapsulation</w:t>
            </w:r>
          </w:p>
        </w:tc>
        <w:tc>
          <w:tcPr>
            <w:tcW w:w="960" w:type="dxa"/>
            <w:shd w:val="clear" w:color="auto" w:fill="FFFFFF" w:themeFill="background1"/>
            <w:tcMar>
              <w:left w:w="23" w:type="dxa"/>
            </w:tcMar>
            <w:vAlign w:val="center"/>
          </w:tcPr>
          <w:p w:rsidR="006904E2" w:rsidRDefault="00010018">
            <w:pPr>
              <w:pStyle w:val="BodyText"/>
              <w:jc w:val="center"/>
            </w:pPr>
            <w:r>
              <w:rPr>
                <w:rFonts w:asciiTheme="minorHAnsi" w:hAnsiTheme="minorHAnsi"/>
                <w:sz w:val="20"/>
                <w:szCs w:val="20"/>
              </w:rPr>
              <w:t>-</w:t>
            </w:r>
          </w:p>
        </w:tc>
        <w:tc>
          <w:tcPr>
            <w:tcW w:w="1921" w:type="dxa"/>
            <w:shd w:val="clear" w:color="auto" w:fill="FFFFFF" w:themeFill="background1"/>
            <w:tcMar>
              <w:left w:w="23" w:type="dxa"/>
            </w:tcMar>
            <w:vAlign w:val="center"/>
          </w:tcPr>
          <w:p w:rsidR="006904E2" w:rsidRDefault="00010018">
            <w:pPr>
              <w:pStyle w:val="BodyText"/>
              <w:jc w:val="center"/>
            </w:pPr>
            <w:r>
              <w:rPr>
                <w:rFonts w:asciiTheme="minorHAnsi" w:hAnsiTheme="minorHAnsi"/>
                <w:sz w:val="20"/>
                <w:szCs w:val="20"/>
              </w:rPr>
              <w:t>IALA Guideline 1113, para 2.2, page 6</w:t>
            </w:r>
          </w:p>
        </w:tc>
        <w:tc>
          <w:tcPr>
            <w:tcW w:w="975" w:type="dxa"/>
            <w:shd w:val="clear" w:color="auto" w:fill="FFFFFF" w:themeFill="background1"/>
            <w:tcMar>
              <w:left w:w="23" w:type="dxa"/>
            </w:tcMar>
            <w:vAlign w:val="center"/>
          </w:tcPr>
          <w:p w:rsidR="006904E2" w:rsidRDefault="00010018">
            <w:pPr>
              <w:pStyle w:val="BodyText"/>
              <w:jc w:val="center"/>
              <w:rPr>
                <w:rFonts w:asciiTheme="minorHAnsi" w:hAnsiTheme="minorHAnsi"/>
                <w:sz w:val="20"/>
                <w:szCs w:val="20"/>
              </w:rPr>
            </w:pPr>
            <w:r>
              <w:rPr>
                <w:rFonts w:asciiTheme="minorHAnsi" w:hAnsiTheme="minorHAnsi"/>
                <w:sz w:val="20"/>
                <w:szCs w:val="20"/>
              </w:rPr>
              <w:t>-</w:t>
            </w:r>
          </w:p>
        </w:tc>
        <w:tc>
          <w:tcPr>
            <w:tcW w:w="4365" w:type="dxa"/>
            <w:shd w:val="clear" w:color="auto" w:fill="FFFFFF" w:themeFill="background1"/>
            <w:tcMar>
              <w:left w:w="23" w:type="dxa"/>
            </w:tcMar>
            <w:vAlign w:val="center"/>
          </w:tcPr>
          <w:p w:rsidR="006904E2" w:rsidRDefault="00010018">
            <w:pPr>
              <w:pStyle w:val="BodyText"/>
            </w:pPr>
            <w:r>
              <w:rPr>
                <w:rFonts w:asciiTheme="minorHAnsi" w:hAnsiTheme="minorHAnsi"/>
                <w:sz w:val="20"/>
                <w:szCs w:val="20"/>
              </w:rPr>
              <w:t xml:space="preserve">Encapsulation hides the technology’s sophistication of the system as a whole and thus reduces complexity, i.e. the details of the system architectures, namely their respective technologies and functions, are not shown. </w:t>
            </w:r>
          </w:p>
        </w:tc>
        <w:tc>
          <w:tcPr>
            <w:tcW w:w="1081" w:type="dxa"/>
            <w:shd w:val="clear" w:color="auto" w:fill="FFFFFF" w:themeFill="background1"/>
            <w:tcMar>
              <w:left w:w="23" w:type="dxa"/>
            </w:tcMar>
            <w:vAlign w:val="center"/>
          </w:tcPr>
          <w:p w:rsidR="006904E2" w:rsidRDefault="006904E2">
            <w:pPr>
              <w:pStyle w:val="BodyText"/>
              <w:jc w:val="left"/>
              <w:rPr>
                <w:rFonts w:asciiTheme="minorHAnsi" w:hAnsiTheme="minorHAnsi"/>
                <w:sz w:val="20"/>
                <w:szCs w:val="20"/>
              </w:rPr>
            </w:pPr>
          </w:p>
        </w:tc>
        <w:tc>
          <w:tcPr>
            <w:tcW w:w="1125" w:type="dxa"/>
            <w:shd w:val="clear" w:color="auto" w:fill="FFFFFF" w:themeFill="background1"/>
            <w:tcMar>
              <w:left w:w="23" w:type="dxa"/>
            </w:tcMar>
            <w:vAlign w:val="center"/>
          </w:tcPr>
          <w:p w:rsidR="006904E2" w:rsidRDefault="006904E2">
            <w:pPr>
              <w:pStyle w:val="BodyText"/>
              <w:jc w:val="left"/>
              <w:rPr>
                <w:rFonts w:asciiTheme="minorHAnsi" w:hAnsiTheme="minorHAnsi"/>
                <w:sz w:val="20"/>
                <w:szCs w:val="20"/>
              </w:rPr>
            </w:pPr>
          </w:p>
        </w:tc>
        <w:tc>
          <w:tcPr>
            <w:tcW w:w="997" w:type="dxa"/>
            <w:shd w:val="clear" w:color="auto" w:fill="FFFFFF" w:themeFill="background1"/>
            <w:tcMar>
              <w:left w:w="23" w:type="dxa"/>
            </w:tcMar>
            <w:vAlign w:val="center"/>
          </w:tcPr>
          <w:p w:rsidR="006904E2" w:rsidRDefault="00010018">
            <w:pPr>
              <w:pStyle w:val="BodyText"/>
              <w:jc w:val="left"/>
            </w:pPr>
            <w:r>
              <w:rPr>
                <w:rFonts w:asciiTheme="minorHAnsi" w:hAnsiTheme="minorHAnsi"/>
                <w:sz w:val="20"/>
                <w:szCs w:val="20"/>
              </w:rPr>
              <w:t xml:space="preserve">New term </w:t>
            </w:r>
          </w:p>
        </w:tc>
        <w:tc>
          <w:tcPr>
            <w:tcW w:w="1072" w:type="dxa"/>
            <w:shd w:val="clear" w:color="auto" w:fill="FFFFFF" w:themeFill="background1"/>
            <w:tcMar>
              <w:left w:w="23" w:type="dxa"/>
            </w:tcMar>
            <w:vAlign w:val="center"/>
          </w:tcPr>
          <w:p w:rsidR="006904E2" w:rsidRDefault="00010018">
            <w:pPr>
              <w:pStyle w:val="BodyText"/>
              <w:jc w:val="left"/>
            </w:pPr>
            <w:r>
              <w:rPr>
                <w:rFonts w:asciiTheme="minorHAnsi" w:hAnsiTheme="minorHAnsi"/>
                <w:sz w:val="20"/>
                <w:szCs w:val="20"/>
              </w:rPr>
              <w:t>May 2015</w:t>
            </w:r>
          </w:p>
        </w:tc>
        <w:tc>
          <w:tcPr>
            <w:tcW w:w="924" w:type="dxa"/>
            <w:shd w:val="clear" w:color="auto" w:fill="FFFFFF" w:themeFill="background1"/>
            <w:tcMar>
              <w:left w:w="23" w:type="dxa"/>
            </w:tcMar>
            <w:vAlign w:val="center"/>
          </w:tcPr>
          <w:p w:rsidR="006904E2" w:rsidRDefault="00010018">
            <w:pPr>
              <w:pStyle w:val="BodyText"/>
              <w:rPr>
                <w:rFonts w:asciiTheme="minorHAnsi" w:hAnsiTheme="minorHAnsi"/>
                <w:sz w:val="20"/>
                <w:szCs w:val="20"/>
              </w:rPr>
            </w:pPr>
            <w:r>
              <w:rPr>
                <w:rFonts w:asciiTheme="minorHAnsi" w:hAnsiTheme="minorHAnsi"/>
                <w:sz w:val="20"/>
                <w:szCs w:val="20"/>
              </w:rPr>
              <w:t>IALA Council approved</w:t>
            </w:r>
          </w:p>
        </w:tc>
      </w:tr>
      <w:tr w:rsidR="006904E2">
        <w:trPr>
          <w:trHeight w:val="469"/>
        </w:trPr>
        <w:tc>
          <w:tcPr>
            <w:tcW w:w="1364" w:type="dxa"/>
            <w:shd w:val="clear" w:color="auto" w:fill="FFFFFF" w:themeFill="background1"/>
            <w:tcMar>
              <w:left w:w="23" w:type="dxa"/>
            </w:tcMar>
            <w:vAlign w:val="center"/>
          </w:tcPr>
          <w:p w:rsidR="006904E2" w:rsidRDefault="00010018">
            <w:pPr>
              <w:pStyle w:val="BodyText"/>
              <w:jc w:val="center"/>
            </w:pPr>
            <w:r>
              <w:rPr>
                <w:rFonts w:asciiTheme="minorHAnsi" w:hAnsiTheme="minorHAnsi"/>
                <w:sz w:val="20"/>
                <w:szCs w:val="20"/>
              </w:rPr>
              <w:t>Functional link</w:t>
            </w:r>
          </w:p>
        </w:tc>
        <w:tc>
          <w:tcPr>
            <w:tcW w:w="960" w:type="dxa"/>
            <w:shd w:val="clear" w:color="auto" w:fill="FFFFFF" w:themeFill="background1"/>
            <w:tcMar>
              <w:left w:w="23" w:type="dxa"/>
            </w:tcMar>
            <w:vAlign w:val="center"/>
          </w:tcPr>
          <w:p w:rsidR="006904E2" w:rsidRDefault="00010018">
            <w:pPr>
              <w:pStyle w:val="BodyText"/>
              <w:jc w:val="center"/>
            </w:pPr>
            <w:r>
              <w:rPr>
                <w:rFonts w:asciiTheme="minorHAnsi" w:hAnsiTheme="minorHAnsi"/>
                <w:sz w:val="20"/>
                <w:szCs w:val="20"/>
              </w:rPr>
              <w:t>-</w:t>
            </w:r>
          </w:p>
        </w:tc>
        <w:tc>
          <w:tcPr>
            <w:tcW w:w="1921" w:type="dxa"/>
            <w:shd w:val="clear" w:color="auto" w:fill="FFFFFF" w:themeFill="background1"/>
            <w:tcMar>
              <w:left w:w="23" w:type="dxa"/>
            </w:tcMar>
            <w:vAlign w:val="center"/>
          </w:tcPr>
          <w:p w:rsidR="006904E2" w:rsidRDefault="00010018">
            <w:pPr>
              <w:pStyle w:val="BodyText"/>
              <w:jc w:val="center"/>
            </w:pPr>
            <w:r>
              <w:rPr>
                <w:rFonts w:asciiTheme="minorHAnsi" w:hAnsiTheme="minorHAnsi"/>
                <w:sz w:val="20"/>
                <w:szCs w:val="20"/>
              </w:rPr>
              <w:t>IALA Guideline 1113, para 2.5</w:t>
            </w:r>
          </w:p>
        </w:tc>
        <w:tc>
          <w:tcPr>
            <w:tcW w:w="975" w:type="dxa"/>
            <w:shd w:val="clear" w:color="auto" w:fill="FFFFFF" w:themeFill="background1"/>
            <w:tcMar>
              <w:left w:w="23" w:type="dxa"/>
            </w:tcMar>
            <w:vAlign w:val="center"/>
          </w:tcPr>
          <w:p w:rsidR="006904E2" w:rsidRDefault="00010018">
            <w:pPr>
              <w:pStyle w:val="BodyText"/>
              <w:jc w:val="center"/>
              <w:rPr>
                <w:rFonts w:asciiTheme="minorHAnsi" w:hAnsiTheme="minorHAnsi"/>
                <w:sz w:val="20"/>
                <w:szCs w:val="20"/>
              </w:rPr>
            </w:pPr>
            <w:r>
              <w:rPr>
                <w:rFonts w:asciiTheme="minorHAnsi" w:hAnsiTheme="minorHAnsi"/>
                <w:sz w:val="20"/>
                <w:szCs w:val="20"/>
              </w:rPr>
              <w:t>-</w:t>
            </w:r>
          </w:p>
        </w:tc>
        <w:tc>
          <w:tcPr>
            <w:tcW w:w="4365" w:type="dxa"/>
            <w:shd w:val="clear" w:color="auto" w:fill="FFFFFF" w:themeFill="background1"/>
            <w:tcMar>
              <w:left w:w="23" w:type="dxa"/>
            </w:tcMar>
            <w:vAlign w:val="center"/>
          </w:tcPr>
          <w:p w:rsidR="006904E2" w:rsidRDefault="00010018">
            <w:pPr>
              <w:pStyle w:val="BodyText"/>
              <w:rPr>
                <w:rFonts w:asciiTheme="minorHAnsi" w:hAnsiTheme="minorHAnsi"/>
                <w:sz w:val="20"/>
                <w:szCs w:val="20"/>
              </w:rPr>
            </w:pPr>
            <w:proofErr w:type="gramStart"/>
            <w:r>
              <w:rPr>
                <w:rFonts w:asciiTheme="minorHAnsi" w:hAnsiTheme="minorHAnsi"/>
                <w:sz w:val="20"/>
                <w:szCs w:val="20"/>
              </w:rPr>
              <w:t>The  functional</w:t>
            </w:r>
            <w:proofErr w:type="gramEnd"/>
            <w:r>
              <w:rPr>
                <w:rFonts w:asciiTheme="minorHAnsi" w:hAnsiTheme="minorHAnsi"/>
                <w:sz w:val="20"/>
                <w:szCs w:val="20"/>
              </w:rPr>
              <w:t xml:space="preserve"> link is the  functional  connection  for  data  exchange between  the shore-based system and the shipboard equipment and thus is the abstract statement in regard to requirement analysis for the data exchange of the application.</w:t>
            </w:r>
          </w:p>
        </w:tc>
        <w:tc>
          <w:tcPr>
            <w:tcW w:w="1081" w:type="dxa"/>
            <w:shd w:val="clear" w:color="auto" w:fill="FFFFFF" w:themeFill="background1"/>
            <w:tcMar>
              <w:left w:w="23" w:type="dxa"/>
            </w:tcMar>
            <w:vAlign w:val="center"/>
          </w:tcPr>
          <w:p w:rsidR="006904E2" w:rsidRDefault="006904E2">
            <w:pPr>
              <w:pStyle w:val="BodyText"/>
              <w:jc w:val="center"/>
              <w:rPr>
                <w:rFonts w:asciiTheme="minorHAnsi" w:hAnsiTheme="minorHAnsi"/>
                <w:sz w:val="20"/>
                <w:szCs w:val="20"/>
              </w:rPr>
            </w:pPr>
          </w:p>
        </w:tc>
        <w:tc>
          <w:tcPr>
            <w:tcW w:w="1125" w:type="dxa"/>
            <w:shd w:val="clear" w:color="auto" w:fill="FFFFFF" w:themeFill="background1"/>
            <w:tcMar>
              <w:left w:w="23" w:type="dxa"/>
            </w:tcMar>
            <w:vAlign w:val="center"/>
          </w:tcPr>
          <w:p w:rsidR="006904E2" w:rsidRDefault="006904E2">
            <w:pPr>
              <w:pStyle w:val="BodyText"/>
              <w:jc w:val="center"/>
              <w:rPr>
                <w:rFonts w:asciiTheme="minorHAnsi" w:hAnsiTheme="minorHAnsi"/>
                <w:sz w:val="20"/>
                <w:szCs w:val="20"/>
              </w:rPr>
            </w:pPr>
          </w:p>
        </w:tc>
        <w:tc>
          <w:tcPr>
            <w:tcW w:w="997" w:type="dxa"/>
            <w:shd w:val="clear" w:color="auto" w:fill="FFFFFF" w:themeFill="background1"/>
            <w:tcMar>
              <w:left w:w="23" w:type="dxa"/>
            </w:tcMar>
            <w:vAlign w:val="center"/>
          </w:tcPr>
          <w:p w:rsidR="006904E2" w:rsidRDefault="00010018">
            <w:pPr>
              <w:pStyle w:val="BodyText"/>
              <w:jc w:val="left"/>
            </w:pPr>
            <w:r>
              <w:rPr>
                <w:rFonts w:asciiTheme="minorHAnsi" w:hAnsiTheme="minorHAnsi"/>
                <w:sz w:val="20"/>
                <w:szCs w:val="20"/>
              </w:rPr>
              <w:t xml:space="preserve">New term </w:t>
            </w:r>
          </w:p>
        </w:tc>
        <w:tc>
          <w:tcPr>
            <w:tcW w:w="1072" w:type="dxa"/>
            <w:shd w:val="clear" w:color="auto" w:fill="FFFFFF" w:themeFill="background1"/>
            <w:tcMar>
              <w:left w:w="23" w:type="dxa"/>
            </w:tcMar>
            <w:vAlign w:val="center"/>
          </w:tcPr>
          <w:p w:rsidR="006904E2" w:rsidRDefault="00010018">
            <w:pPr>
              <w:pStyle w:val="BodyText"/>
              <w:jc w:val="left"/>
            </w:pPr>
            <w:r>
              <w:rPr>
                <w:rFonts w:asciiTheme="minorHAnsi" w:hAnsiTheme="minorHAnsi"/>
                <w:sz w:val="20"/>
                <w:szCs w:val="20"/>
              </w:rPr>
              <w:t>May 2015</w:t>
            </w:r>
          </w:p>
        </w:tc>
        <w:tc>
          <w:tcPr>
            <w:tcW w:w="924" w:type="dxa"/>
            <w:shd w:val="clear" w:color="auto" w:fill="FFFFFF" w:themeFill="background1"/>
            <w:tcMar>
              <w:left w:w="23" w:type="dxa"/>
            </w:tcMar>
            <w:vAlign w:val="center"/>
          </w:tcPr>
          <w:p w:rsidR="006904E2" w:rsidRDefault="00010018">
            <w:pPr>
              <w:pStyle w:val="BodyText"/>
              <w:rPr>
                <w:rFonts w:asciiTheme="minorHAnsi" w:hAnsiTheme="minorHAnsi"/>
                <w:sz w:val="20"/>
                <w:szCs w:val="20"/>
              </w:rPr>
            </w:pPr>
            <w:r>
              <w:rPr>
                <w:rFonts w:asciiTheme="minorHAnsi" w:hAnsiTheme="minorHAnsi"/>
                <w:sz w:val="20"/>
                <w:szCs w:val="20"/>
              </w:rPr>
              <w:t>IALA Council approved</w:t>
            </w:r>
          </w:p>
        </w:tc>
      </w:tr>
      <w:tr w:rsidR="006904E2">
        <w:tc>
          <w:tcPr>
            <w:tcW w:w="1364" w:type="dxa"/>
            <w:shd w:val="clear" w:color="auto" w:fill="auto"/>
            <w:tcMar>
              <w:left w:w="23" w:type="dxa"/>
            </w:tcMar>
            <w:vAlign w:val="center"/>
          </w:tcPr>
          <w:p w:rsidR="006904E2" w:rsidRDefault="00010018">
            <w:pPr>
              <w:pStyle w:val="BodyText"/>
              <w:jc w:val="center"/>
              <w:rPr>
                <w:rFonts w:asciiTheme="minorHAnsi" w:hAnsiTheme="minorHAnsi"/>
                <w:sz w:val="20"/>
                <w:szCs w:val="20"/>
              </w:rPr>
            </w:pPr>
            <w:r>
              <w:rPr>
                <w:rFonts w:asciiTheme="minorHAnsi" w:hAnsiTheme="minorHAnsi"/>
                <w:sz w:val="20"/>
                <w:szCs w:val="20"/>
              </w:rPr>
              <w:t>Physical link</w:t>
            </w:r>
          </w:p>
        </w:tc>
        <w:tc>
          <w:tcPr>
            <w:tcW w:w="960" w:type="dxa"/>
            <w:shd w:val="clear" w:color="auto" w:fill="auto"/>
            <w:tcMar>
              <w:left w:w="23" w:type="dxa"/>
            </w:tcMar>
            <w:vAlign w:val="center"/>
          </w:tcPr>
          <w:p w:rsidR="006904E2" w:rsidRDefault="00010018">
            <w:pPr>
              <w:pStyle w:val="BodyText"/>
              <w:jc w:val="center"/>
            </w:pPr>
            <w:r>
              <w:rPr>
                <w:rFonts w:asciiTheme="minorHAnsi" w:hAnsiTheme="minorHAnsi"/>
                <w:sz w:val="20"/>
                <w:szCs w:val="20"/>
              </w:rPr>
              <w:t>-</w:t>
            </w:r>
          </w:p>
        </w:tc>
        <w:tc>
          <w:tcPr>
            <w:tcW w:w="1921" w:type="dxa"/>
            <w:shd w:val="clear" w:color="auto" w:fill="auto"/>
            <w:tcMar>
              <w:left w:w="23" w:type="dxa"/>
            </w:tcMar>
            <w:vAlign w:val="center"/>
          </w:tcPr>
          <w:p w:rsidR="006904E2" w:rsidRDefault="00010018">
            <w:pPr>
              <w:pStyle w:val="BodyText"/>
              <w:jc w:val="center"/>
            </w:pPr>
            <w:r>
              <w:rPr>
                <w:rFonts w:asciiTheme="minorHAnsi" w:hAnsiTheme="minorHAnsi"/>
                <w:sz w:val="20"/>
                <w:szCs w:val="20"/>
              </w:rPr>
              <w:t>IALA Guideline 1113, para 2.5</w:t>
            </w:r>
          </w:p>
        </w:tc>
        <w:tc>
          <w:tcPr>
            <w:tcW w:w="975" w:type="dxa"/>
            <w:shd w:val="clear" w:color="auto" w:fill="auto"/>
            <w:tcMar>
              <w:left w:w="23" w:type="dxa"/>
            </w:tcMar>
            <w:vAlign w:val="center"/>
          </w:tcPr>
          <w:p w:rsidR="006904E2" w:rsidRDefault="00010018">
            <w:pPr>
              <w:pStyle w:val="BodyText"/>
              <w:jc w:val="center"/>
              <w:rPr>
                <w:rFonts w:asciiTheme="minorHAnsi" w:hAnsiTheme="minorHAnsi"/>
                <w:sz w:val="20"/>
                <w:szCs w:val="20"/>
              </w:rPr>
            </w:pPr>
            <w:r>
              <w:rPr>
                <w:rFonts w:asciiTheme="minorHAnsi" w:hAnsiTheme="minorHAnsi"/>
                <w:sz w:val="20"/>
                <w:szCs w:val="20"/>
              </w:rPr>
              <w:t>-</w:t>
            </w:r>
          </w:p>
        </w:tc>
        <w:tc>
          <w:tcPr>
            <w:tcW w:w="4365" w:type="dxa"/>
            <w:shd w:val="clear" w:color="auto" w:fill="auto"/>
            <w:tcMar>
              <w:left w:w="23" w:type="dxa"/>
            </w:tcMar>
            <w:vAlign w:val="center"/>
          </w:tcPr>
          <w:p w:rsidR="006904E2" w:rsidRDefault="00010018" w:rsidP="0085101D">
            <w:pPr>
              <w:pStyle w:val="Default"/>
              <w:jc w:val="both"/>
              <w:rPr>
                <w:rFonts w:asciiTheme="minorHAnsi" w:hAnsiTheme="minorHAnsi" w:cs="Calibri"/>
                <w:sz w:val="20"/>
                <w:szCs w:val="20"/>
              </w:rPr>
            </w:pPr>
            <w:r>
              <w:rPr>
                <w:rFonts w:ascii="Calibri" w:hAnsi="Calibri" w:cs="Calibri"/>
                <w:sz w:val="20"/>
                <w:szCs w:val="20"/>
              </w:rPr>
              <w:t>The physical link is the part of the physical path for data exchange between the shore-based technical system and the shipboard equipment, and employs one or more appropriate mediums such as radio waves or light.</w:t>
            </w:r>
          </w:p>
        </w:tc>
        <w:tc>
          <w:tcPr>
            <w:tcW w:w="1081" w:type="dxa"/>
            <w:shd w:val="clear" w:color="auto" w:fill="auto"/>
            <w:tcMar>
              <w:left w:w="23" w:type="dxa"/>
            </w:tcMar>
            <w:vAlign w:val="center"/>
          </w:tcPr>
          <w:p w:rsidR="006904E2" w:rsidRDefault="006904E2">
            <w:pPr>
              <w:pStyle w:val="BodyText"/>
              <w:jc w:val="center"/>
              <w:rPr>
                <w:rFonts w:asciiTheme="minorHAnsi" w:hAnsiTheme="minorHAnsi"/>
                <w:sz w:val="20"/>
                <w:szCs w:val="20"/>
              </w:rPr>
            </w:pPr>
          </w:p>
        </w:tc>
        <w:tc>
          <w:tcPr>
            <w:tcW w:w="1125" w:type="dxa"/>
            <w:shd w:val="clear" w:color="auto" w:fill="auto"/>
            <w:tcMar>
              <w:left w:w="23" w:type="dxa"/>
            </w:tcMar>
            <w:vAlign w:val="center"/>
          </w:tcPr>
          <w:p w:rsidR="006904E2" w:rsidRDefault="006904E2">
            <w:pPr>
              <w:pStyle w:val="BodyText"/>
              <w:jc w:val="center"/>
              <w:rPr>
                <w:rFonts w:asciiTheme="minorHAnsi" w:hAnsiTheme="minorHAnsi"/>
                <w:sz w:val="20"/>
                <w:szCs w:val="20"/>
              </w:rPr>
            </w:pPr>
          </w:p>
        </w:tc>
        <w:tc>
          <w:tcPr>
            <w:tcW w:w="997" w:type="dxa"/>
            <w:tcBorders>
              <w:left w:val="nil"/>
              <w:right w:val="nil"/>
            </w:tcBorders>
            <w:shd w:val="clear" w:color="auto" w:fill="FFFFFF"/>
            <w:vAlign w:val="center"/>
          </w:tcPr>
          <w:p w:rsidR="006904E2" w:rsidRDefault="00010018">
            <w:pPr>
              <w:pStyle w:val="BodyText"/>
              <w:jc w:val="left"/>
              <w:rPr>
                <w:rFonts w:asciiTheme="minorHAnsi" w:hAnsiTheme="minorHAnsi"/>
                <w:sz w:val="20"/>
                <w:szCs w:val="20"/>
              </w:rPr>
            </w:pPr>
            <w:r>
              <w:rPr>
                <w:rFonts w:ascii="Calibri" w:hAnsi="Calibri"/>
                <w:sz w:val="20"/>
                <w:szCs w:val="20"/>
              </w:rPr>
              <w:t xml:space="preserve">New term </w:t>
            </w:r>
          </w:p>
        </w:tc>
        <w:tc>
          <w:tcPr>
            <w:tcW w:w="1072" w:type="dxa"/>
            <w:tcBorders>
              <w:left w:val="nil"/>
              <w:right w:val="nil"/>
            </w:tcBorders>
            <w:shd w:val="clear" w:color="auto" w:fill="FFFFFF"/>
            <w:vAlign w:val="center"/>
          </w:tcPr>
          <w:p w:rsidR="006904E2" w:rsidRDefault="00010018">
            <w:pPr>
              <w:pStyle w:val="BodyText"/>
              <w:jc w:val="left"/>
              <w:rPr>
                <w:rFonts w:asciiTheme="minorHAnsi" w:hAnsiTheme="minorHAnsi"/>
                <w:sz w:val="20"/>
                <w:szCs w:val="20"/>
              </w:rPr>
            </w:pPr>
            <w:r>
              <w:rPr>
                <w:rFonts w:ascii="Calibri" w:hAnsi="Calibri"/>
                <w:sz w:val="20"/>
                <w:szCs w:val="20"/>
              </w:rPr>
              <w:t>May 2015</w:t>
            </w:r>
          </w:p>
        </w:tc>
        <w:tc>
          <w:tcPr>
            <w:tcW w:w="924" w:type="dxa"/>
            <w:shd w:val="clear" w:color="auto" w:fill="FFFFFF"/>
            <w:tcMar>
              <w:left w:w="23" w:type="dxa"/>
            </w:tcMar>
            <w:vAlign w:val="center"/>
          </w:tcPr>
          <w:p w:rsidR="006904E2" w:rsidRDefault="00010018">
            <w:pPr>
              <w:pStyle w:val="BodyText"/>
              <w:rPr>
                <w:rFonts w:asciiTheme="minorHAnsi" w:hAnsiTheme="minorHAnsi"/>
                <w:sz w:val="20"/>
                <w:szCs w:val="20"/>
              </w:rPr>
            </w:pPr>
            <w:r>
              <w:rPr>
                <w:rFonts w:ascii="Calibri" w:hAnsi="Calibri"/>
                <w:sz w:val="20"/>
                <w:szCs w:val="20"/>
              </w:rPr>
              <w:t>IALA Council approved</w:t>
            </w:r>
          </w:p>
        </w:tc>
      </w:tr>
      <w:tr w:rsidR="006904E2">
        <w:tc>
          <w:tcPr>
            <w:tcW w:w="1364" w:type="dxa"/>
            <w:shd w:val="clear" w:color="auto" w:fill="auto"/>
            <w:tcMar>
              <w:left w:w="23" w:type="dxa"/>
            </w:tcMar>
            <w:vAlign w:val="center"/>
          </w:tcPr>
          <w:p w:rsidR="006904E2" w:rsidRDefault="00010018">
            <w:pPr>
              <w:pStyle w:val="BodyText"/>
              <w:jc w:val="center"/>
              <w:rPr>
                <w:rFonts w:asciiTheme="minorHAnsi" w:hAnsiTheme="minorHAnsi"/>
                <w:sz w:val="20"/>
                <w:szCs w:val="20"/>
              </w:rPr>
            </w:pPr>
            <w:r>
              <w:rPr>
                <w:rFonts w:asciiTheme="minorHAnsi" w:hAnsiTheme="minorHAnsi"/>
                <w:sz w:val="20"/>
                <w:szCs w:val="20"/>
              </w:rPr>
              <w:lastRenderedPageBreak/>
              <w:t>Common Maritime Data Structure (CMDS)</w:t>
            </w:r>
          </w:p>
        </w:tc>
        <w:tc>
          <w:tcPr>
            <w:tcW w:w="960" w:type="dxa"/>
            <w:shd w:val="clear" w:color="auto" w:fill="auto"/>
            <w:tcMar>
              <w:left w:w="23" w:type="dxa"/>
            </w:tcMar>
            <w:vAlign w:val="center"/>
          </w:tcPr>
          <w:p w:rsidR="006904E2" w:rsidRDefault="00010018">
            <w:pPr>
              <w:pStyle w:val="BodyText"/>
              <w:jc w:val="center"/>
            </w:pPr>
            <w:r>
              <w:rPr>
                <w:rFonts w:asciiTheme="minorHAnsi" w:hAnsiTheme="minorHAnsi"/>
                <w:sz w:val="20"/>
                <w:szCs w:val="20"/>
              </w:rPr>
              <w:t>-</w:t>
            </w:r>
          </w:p>
        </w:tc>
        <w:tc>
          <w:tcPr>
            <w:tcW w:w="1921" w:type="dxa"/>
            <w:shd w:val="clear" w:color="auto" w:fill="auto"/>
            <w:tcMar>
              <w:left w:w="23" w:type="dxa"/>
            </w:tcMar>
            <w:vAlign w:val="center"/>
          </w:tcPr>
          <w:p w:rsidR="006904E2" w:rsidRDefault="00010018">
            <w:pPr>
              <w:pStyle w:val="BodyText"/>
              <w:jc w:val="center"/>
            </w:pPr>
            <w:r>
              <w:rPr>
                <w:rFonts w:asciiTheme="minorHAnsi" w:hAnsiTheme="minorHAnsi"/>
                <w:sz w:val="20"/>
                <w:szCs w:val="20"/>
              </w:rPr>
              <w:t>IALA Guideline 1113, para 2.7</w:t>
            </w:r>
          </w:p>
        </w:tc>
        <w:tc>
          <w:tcPr>
            <w:tcW w:w="975" w:type="dxa"/>
            <w:shd w:val="clear" w:color="auto" w:fill="auto"/>
            <w:tcMar>
              <w:left w:w="23" w:type="dxa"/>
            </w:tcMar>
            <w:vAlign w:val="center"/>
          </w:tcPr>
          <w:p w:rsidR="006904E2" w:rsidRDefault="00010018">
            <w:pPr>
              <w:pStyle w:val="BodyText"/>
              <w:jc w:val="center"/>
              <w:rPr>
                <w:rFonts w:asciiTheme="minorHAnsi" w:hAnsiTheme="minorHAnsi"/>
                <w:sz w:val="20"/>
                <w:szCs w:val="20"/>
              </w:rPr>
            </w:pPr>
            <w:r>
              <w:rPr>
                <w:rFonts w:asciiTheme="minorHAnsi" w:hAnsiTheme="minorHAnsi"/>
                <w:sz w:val="20"/>
                <w:szCs w:val="20"/>
              </w:rPr>
              <w:t>-</w:t>
            </w:r>
          </w:p>
        </w:tc>
        <w:tc>
          <w:tcPr>
            <w:tcW w:w="4365" w:type="dxa"/>
            <w:shd w:val="clear" w:color="auto" w:fill="auto"/>
            <w:tcMar>
              <w:left w:w="23" w:type="dxa"/>
            </w:tcMar>
            <w:vAlign w:val="center"/>
          </w:tcPr>
          <w:p w:rsidR="006904E2" w:rsidRDefault="00010018">
            <w:pPr>
              <w:pStyle w:val="BodyText"/>
              <w:rPr>
                <w:rFonts w:asciiTheme="minorHAnsi" w:hAnsiTheme="minorHAnsi"/>
                <w:sz w:val="20"/>
                <w:szCs w:val="20"/>
                <w:lang w:val="en-US"/>
              </w:rPr>
            </w:pPr>
            <w:r>
              <w:rPr>
                <w:rFonts w:asciiTheme="minorHAnsi" w:hAnsiTheme="minorHAnsi"/>
                <w:sz w:val="20"/>
                <w:szCs w:val="20"/>
                <w:lang w:val="en-US"/>
              </w:rPr>
              <w:t>The Common Maritime Data Structure (CMDS) is an abstract data representation of those parts of the maritime domain defined in it at any given time. Specifically, it represents the entities and relationships among the entities that exist in the maritime domain as meta-level</w:t>
            </w:r>
            <w:r w:rsidR="0085101D">
              <w:rPr>
                <w:rFonts w:asciiTheme="minorHAnsi" w:hAnsiTheme="minorHAnsi"/>
                <w:sz w:val="20"/>
                <w:szCs w:val="20"/>
                <w:lang w:val="en-US"/>
              </w:rPr>
              <w:t xml:space="preserve"> </w:t>
            </w:r>
            <w:r>
              <w:rPr>
                <w:rFonts w:asciiTheme="minorHAnsi" w:hAnsiTheme="minorHAnsi"/>
                <w:sz w:val="20"/>
                <w:szCs w:val="20"/>
                <w:lang w:val="en-US"/>
              </w:rPr>
              <w:t>data descriptions but does not represent processes.</w:t>
            </w:r>
          </w:p>
        </w:tc>
        <w:tc>
          <w:tcPr>
            <w:tcW w:w="1081" w:type="dxa"/>
            <w:shd w:val="clear" w:color="auto" w:fill="auto"/>
            <w:tcMar>
              <w:left w:w="23" w:type="dxa"/>
            </w:tcMar>
            <w:vAlign w:val="center"/>
          </w:tcPr>
          <w:p w:rsidR="006904E2" w:rsidRDefault="006904E2">
            <w:pPr>
              <w:pStyle w:val="BodyText"/>
              <w:jc w:val="center"/>
              <w:rPr>
                <w:rFonts w:asciiTheme="minorHAnsi" w:hAnsiTheme="minorHAnsi"/>
                <w:sz w:val="20"/>
                <w:szCs w:val="20"/>
              </w:rPr>
            </w:pPr>
          </w:p>
        </w:tc>
        <w:tc>
          <w:tcPr>
            <w:tcW w:w="1125" w:type="dxa"/>
            <w:shd w:val="clear" w:color="auto" w:fill="auto"/>
            <w:tcMar>
              <w:left w:w="23" w:type="dxa"/>
            </w:tcMar>
            <w:vAlign w:val="center"/>
          </w:tcPr>
          <w:p w:rsidR="006904E2" w:rsidRDefault="006904E2">
            <w:pPr>
              <w:pStyle w:val="BodyText"/>
              <w:jc w:val="center"/>
              <w:rPr>
                <w:rFonts w:asciiTheme="minorHAnsi" w:hAnsiTheme="minorHAnsi"/>
                <w:sz w:val="20"/>
                <w:szCs w:val="20"/>
              </w:rPr>
            </w:pPr>
          </w:p>
        </w:tc>
        <w:tc>
          <w:tcPr>
            <w:tcW w:w="997" w:type="dxa"/>
            <w:shd w:val="clear" w:color="auto" w:fill="auto"/>
            <w:tcMar>
              <w:left w:w="23" w:type="dxa"/>
            </w:tcMar>
            <w:vAlign w:val="center"/>
          </w:tcPr>
          <w:p w:rsidR="006904E2" w:rsidRDefault="00010018">
            <w:pPr>
              <w:pStyle w:val="BodyText"/>
              <w:jc w:val="left"/>
              <w:rPr>
                <w:rFonts w:asciiTheme="minorHAnsi" w:hAnsiTheme="minorHAnsi"/>
                <w:sz w:val="20"/>
                <w:szCs w:val="20"/>
              </w:rPr>
            </w:pPr>
            <w:r>
              <w:rPr>
                <w:rFonts w:ascii="Calibri" w:hAnsi="Calibri"/>
                <w:sz w:val="20"/>
                <w:szCs w:val="20"/>
              </w:rPr>
              <w:t xml:space="preserve">New term </w:t>
            </w:r>
          </w:p>
        </w:tc>
        <w:tc>
          <w:tcPr>
            <w:tcW w:w="1072" w:type="dxa"/>
            <w:shd w:val="clear" w:color="auto" w:fill="auto"/>
            <w:tcMar>
              <w:left w:w="23" w:type="dxa"/>
            </w:tcMar>
            <w:vAlign w:val="center"/>
          </w:tcPr>
          <w:p w:rsidR="006904E2" w:rsidRDefault="00010018">
            <w:pPr>
              <w:pStyle w:val="BodyText"/>
              <w:jc w:val="left"/>
              <w:rPr>
                <w:rFonts w:asciiTheme="minorHAnsi" w:hAnsiTheme="minorHAnsi"/>
                <w:sz w:val="20"/>
                <w:szCs w:val="20"/>
              </w:rPr>
            </w:pPr>
            <w:r>
              <w:rPr>
                <w:rFonts w:ascii="Calibri" w:hAnsi="Calibri"/>
                <w:sz w:val="20"/>
                <w:szCs w:val="20"/>
              </w:rPr>
              <w:t>May 2015</w:t>
            </w:r>
          </w:p>
        </w:tc>
        <w:tc>
          <w:tcPr>
            <w:tcW w:w="924" w:type="dxa"/>
            <w:shd w:val="clear" w:color="auto" w:fill="auto"/>
            <w:tcMar>
              <w:left w:w="23" w:type="dxa"/>
            </w:tcMar>
            <w:vAlign w:val="center"/>
          </w:tcPr>
          <w:p w:rsidR="006904E2" w:rsidRDefault="00010018">
            <w:pPr>
              <w:pStyle w:val="BodyText"/>
              <w:rPr>
                <w:rFonts w:asciiTheme="minorHAnsi" w:hAnsiTheme="minorHAnsi"/>
                <w:sz w:val="20"/>
                <w:szCs w:val="20"/>
              </w:rPr>
            </w:pPr>
            <w:r>
              <w:rPr>
                <w:rFonts w:ascii="Calibri" w:hAnsi="Calibri"/>
                <w:sz w:val="20"/>
                <w:szCs w:val="20"/>
              </w:rPr>
              <w:t>IALA Council approved</w:t>
            </w:r>
          </w:p>
        </w:tc>
      </w:tr>
      <w:tr w:rsidR="006904E2">
        <w:tc>
          <w:tcPr>
            <w:tcW w:w="1364" w:type="dxa"/>
            <w:tcBorders>
              <w:top w:val="nil"/>
            </w:tcBorders>
            <w:shd w:val="clear" w:color="auto" w:fill="auto"/>
            <w:tcMar>
              <w:left w:w="23" w:type="dxa"/>
            </w:tcMar>
            <w:vAlign w:val="center"/>
          </w:tcPr>
          <w:p w:rsidR="006904E2" w:rsidRDefault="00010018">
            <w:pPr>
              <w:pStyle w:val="BodyText"/>
              <w:jc w:val="center"/>
              <w:rPr>
                <w:rFonts w:asciiTheme="minorHAnsi" w:hAnsiTheme="minorHAnsi"/>
                <w:sz w:val="20"/>
                <w:szCs w:val="20"/>
              </w:rPr>
            </w:pPr>
            <w:r>
              <w:rPr>
                <w:rFonts w:asciiTheme="minorHAnsi" w:hAnsiTheme="minorHAnsi"/>
                <w:sz w:val="20"/>
                <w:szCs w:val="20"/>
              </w:rPr>
              <w:t>Trac</w:t>
            </w:r>
            <w:r w:rsidR="0085101D">
              <w:rPr>
                <w:rFonts w:asciiTheme="minorHAnsi" w:hAnsiTheme="minorHAnsi"/>
                <w:sz w:val="20"/>
                <w:szCs w:val="20"/>
              </w:rPr>
              <w:t>e</w:t>
            </w:r>
            <w:r>
              <w:rPr>
                <w:rFonts w:asciiTheme="minorHAnsi" w:hAnsiTheme="minorHAnsi"/>
                <w:sz w:val="20"/>
                <w:szCs w:val="20"/>
              </w:rPr>
              <w:t>ability</w:t>
            </w:r>
          </w:p>
        </w:tc>
        <w:tc>
          <w:tcPr>
            <w:tcW w:w="960" w:type="dxa"/>
            <w:tcBorders>
              <w:top w:val="nil"/>
            </w:tcBorders>
            <w:shd w:val="clear" w:color="auto" w:fill="auto"/>
            <w:tcMar>
              <w:left w:w="23" w:type="dxa"/>
            </w:tcMar>
            <w:vAlign w:val="center"/>
          </w:tcPr>
          <w:p w:rsidR="006904E2" w:rsidRDefault="00010018">
            <w:pPr>
              <w:pStyle w:val="BodyText"/>
              <w:jc w:val="center"/>
            </w:pPr>
            <w:r>
              <w:rPr>
                <w:rFonts w:asciiTheme="minorHAnsi" w:hAnsiTheme="minorHAnsi"/>
                <w:sz w:val="20"/>
                <w:szCs w:val="20"/>
              </w:rPr>
              <w:t>-</w:t>
            </w:r>
          </w:p>
        </w:tc>
        <w:tc>
          <w:tcPr>
            <w:tcW w:w="1921" w:type="dxa"/>
            <w:tcBorders>
              <w:top w:val="nil"/>
            </w:tcBorders>
            <w:shd w:val="clear" w:color="auto" w:fill="auto"/>
            <w:tcMar>
              <w:left w:w="23" w:type="dxa"/>
            </w:tcMar>
            <w:vAlign w:val="center"/>
          </w:tcPr>
          <w:p w:rsidR="006904E2" w:rsidRDefault="00010018">
            <w:pPr>
              <w:pStyle w:val="BodyText"/>
              <w:jc w:val="center"/>
            </w:pPr>
            <w:r>
              <w:rPr>
                <w:rFonts w:asciiTheme="minorHAnsi" w:hAnsiTheme="minorHAnsi"/>
                <w:sz w:val="20"/>
                <w:szCs w:val="20"/>
              </w:rPr>
              <w:t>IALA Guideline 1113, para 3.1</w:t>
            </w:r>
          </w:p>
        </w:tc>
        <w:tc>
          <w:tcPr>
            <w:tcW w:w="975" w:type="dxa"/>
            <w:tcBorders>
              <w:top w:val="nil"/>
            </w:tcBorders>
            <w:shd w:val="clear" w:color="auto" w:fill="auto"/>
            <w:tcMar>
              <w:left w:w="23" w:type="dxa"/>
            </w:tcMar>
            <w:vAlign w:val="center"/>
          </w:tcPr>
          <w:p w:rsidR="006904E2" w:rsidRDefault="00010018">
            <w:pPr>
              <w:pStyle w:val="BodyText"/>
              <w:jc w:val="center"/>
              <w:rPr>
                <w:rFonts w:asciiTheme="minorHAnsi" w:hAnsiTheme="minorHAnsi"/>
                <w:sz w:val="20"/>
                <w:szCs w:val="20"/>
              </w:rPr>
            </w:pPr>
            <w:r>
              <w:rPr>
                <w:rFonts w:asciiTheme="minorHAnsi" w:hAnsiTheme="minorHAnsi"/>
                <w:sz w:val="20"/>
                <w:szCs w:val="20"/>
              </w:rPr>
              <w:t>-</w:t>
            </w:r>
          </w:p>
        </w:tc>
        <w:tc>
          <w:tcPr>
            <w:tcW w:w="4365" w:type="dxa"/>
            <w:tcBorders>
              <w:top w:val="nil"/>
            </w:tcBorders>
            <w:shd w:val="clear" w:color="auto" w:fill="auto"/>
            <w:tcMar>
              <w:left w:w="23" w:type="dxa"/>
            </w:tcMar>
            <w:vAlign w:val="center"/>
          </w:tcPr>
          <w:p w:rsidR="006904E2" w:rsidRDefault="00010018">
            <w:pPr>
              <w:pStyle w:val="BodyText"/>
              <w:rPr>
                <w:rFonts w:asciiTheme="minorHAnsi" w:hAnsiTheme="minorHAnsi"/>
                <w:sz w:val="20"/>
                <w:szCs w:val="20"/>
                <w:lang w:val="en-US"/>
              </w:rPr>
            </w:pPr>
            <w:r>
              <w:rPr>
                <w:rFonts w:asciiTheme="minorHAnsi" w:hAnsiTheme="minorHAnsi"/>
                <w:sz w:val="20"/>
                <w:szCs w:val="20"/>
                <w:lang w:val="en-US"/>
              </w:rPr>
              <w:t>Traceability allows to link user or management requirements with system engineering requirements.</w:t>
            </w:r>
          </w:p>
        </w:tc>
        <w:tc>
          <w:tcPr>
            <w:tcW w:w="1081" w:type="dxa"/>
            <w:tcBorders>
              <w:top w:val="nil"/>
            </w:tcBorders>
            <w:shd w:val="clear" w:color="auto" w:fill="auto"/>
            <w:tcMar>
              <w:left w:w="23" w:type="dxa"/>
            </w:tcMar>
            <w:vAlign w:val="center"/>
          </w:tcPr>
          <w:p w:rsidR="006904E2" w:rsidRDefault="006904E2">
            <w:pPr>
              <w:pStyle w:val="BodyText"/>
              <w:jc w:val="center"/>
              <w:rPr>
                <w:rFonts w:asciiTheme="minorHAnsi" w:hAnsiTheme="minorHAnsi"/>
                <w:sz w:val="20"/>
                <w:szCs w:val="20"/>
              </w:rPr>
            </w:pPr>
          </w:p>
        </w:tc>
        <w:tc>
          <w:tcPr>
            <w:tcW w:w="1125" w:type="dxa"/>
            <w:tcBorders>
              <w:top w:val="nil"/>
            </w:tcBorders>
            <w:shd w:val="clear" w:color="auto" w:fill="auto"/>
            <w:tcMar>
              <w:left w:w="23" w:type="dxa"/>
            </w:tcMar>
            <w:vAlign w:val="center"/>
          </w:tcPr>
          <w:p w:rsidR="006904E2" w:rsidRDefault="006904E2">
            <w:pPr>
              <w:pStyle w:val="BodyText"/>
              <w:jc w:val="center"/>
              <w:rPr>
                <w:rFonts w:asciiTheme="minorHAnsi" w:hAnsiTheme="minorHAnsi"/>
                <w:sz w:val="20"/>
                <w:szCs w:val="20"/>
              </w:rPr>
            </w:pPr>
          </w:p>
        </w:tc>
        <w:tc>
          <w:tcPr>
            <w:tcW w:w="997" w:type="dxa"/>
            <w:tcBorders>
              <w:top w:val="nil"/>
            </w:tcBorders>
            <w:shd w:val="clear" w:color="auto" w:fill="auto"/>
            <w:tcMar>
              <w:left w:w="23" w:type="dxa"/>
            </w:tcMar>
            <w:vAlign w:val="center"/>
          </w:tcPr>
          <w:p w:rsidR="006904E2" w:rsidRDefault="00010018">
            <w:pPr>
              <w:pStyle w:val="BodyText"/>
              <w:jc w:val="left"/>
              <w:rPr>
                <w:rFonts w:asciiTheme="minorHAnsi" w:hAnsiTheme="minorHAnsi"/>
                <w:sz w:val="20"/>
                <w:szCs w:val="20"/>
              </w:rPr>
            </w:pPr>
            <w:r>
              <w:rPr>
                <w:rFonts w:ascii="Calibri" w:hAnsi="Calibri"/>
                <w:sz w:val="20"/>
                <w:szCs w:val="20"/>
              </w:rPr>
              <w:t xml:space="preserve">New term </w:t>
            </w:r>
          </w:p>
        </w:tc>
        <w:tc>
          <w:tcPr>
            <w:tcW w:w="1072" w:type="dxa"/>
            <w:tcBorders>
              <w:top w:val="nil"/>
            </w:tcBorders>
            <w:shd w:val="clear" w:color="auto" w:fill="auto"/>
            <w:tcMar>
              <w:left w:w="23" w:type="dxa"/>
            </w:tcMar>
            <w:vAlign w:val="center"/>
          </w:tcPr>
          <w:p w:rsidR="006904E2" w:rsidRDefault="00010018">
            <w:pPr>
              <w:pStyle w:val="BodyText"/>
              <w:jc w:val="left"/>
              <w:rPr>
                <w:rFonts w:asciiTheme="minorHAnsi" w:hAnsiTheme="minorHAnsi"/>
                <w:sz w:val="20"/>
                <w:szCs w:val="20"/>
              </w:rPr>
            </w:pPr>
            <w:r>
              <w:rPr>
                <w:rFonts w:ascii="Calibri" w:hAnsi="Calibri"/>
                <w:sz w:val="20"/>
                <w:szCs w:val="20"/>
              </w:rPr>
              <w:t>May 2015</w:t>
            </w:r>
          </w:p>
        </w:tc>
        <w:tc>
          <w:tcPr>
            <w:tcW w:w="924" w:type="dxa"/>
            <w:tcBorders>
              <w:top w:val="nil"/>
            </w:tcBorders>
            <w:shd w:val="clear" w:color="auto" w:fill="auto"/>
            <w:tcMar>
              <w:left w:w="23" w:type="dxa"/>
            </w:tcMar>
            <w:vAlign w:val="center"/>
          </w:tcPr>
          <w:p w:rsidR="006904E2" w:rsidRDefault="00010018">
            <w:pPr>
              <w:pStyle w:val="BodyText"/>
              <w:rPr>
                <w:rFonts w:asciiTheme="minorHAnsi" w:hAnsiTheme="minorHAnsi"/>
                <w:sz w:val="20"/>
                <w:szCs w:val="20"/>
              </w:rPr>
            </w:pPr>
            <w:r>
              <w:rPr>
                <w:rFonts w:ascii="Calibri" w:hAnsi="Calibri"/>
                <w:sz w:val="20"/>
                <w:szCs w:val="20"/>
              </w:rPr>
              <w:t>IALA Council approved</w:t>
            </w:r>
          </w:p>
        </w:tc>
      </w:tr>
      <w:tr w:rsidR="006904E2">
        <w:tc>
          <w:tcPr>
            <w:tcW w:w="1364" w:type="dxa"/>
            <w:tcBorders>
              <w:top w:val="nil"/>
            </w:tcBorders>
            <w:shd w:val="clear" w:color="auto" w:fill="auto"/>
            <w:tcMar>
              <w:left w:w="23" w:type="dxa"/>
            </w:tcMar>
            <w:vAlign w:val="center"/>
          </w:tcPr>
          <w:p w:rsidR="006904E2" w:rsidRDefault="00010018">
            <w:pPr>
              <w:pStyle w:val="BodyText"/>
              <w:jc w:val="center"/>
              <w:rPr>
                <w:rFonts w:asciiTheme="minorHAnsi" w:hAnsiTheme="minorHAnsi"/>
                <w:sz w:val="20"/>
                <w:szCs w:val="20"/>
              </w:rPr>
            </w:pPr>
            <w:r>
              <w:rPr>
                <w:rFonts w:asciiTheme="minorHAnsi" w:hAnsiTheme="minorHAnsi"/>
                <w:sz w:val="20"/>
                <w:szCs w:val="20"/>
              </w:rPr>
              <w:t>Layering</w:t>
            </w:r>
          </w:p>
        </w:tc>
        <w:tc>
          <w:tcPr>
            <w:tcW w:w="960" w:type="dxa"/>
            <w:tcBorders>
              <w:top w:val="nil"/>
            </w:tcBorders>
            <w:shd w:val="clear" w:color="auto" w:fill="auto"/>
            <w:tcMar>
              <w:left w:w="23" w:type="dxa"/>
            </w:tcMar>
            <w:vAlign w:val="center"/>
          </w:tcPr>
          <w:p w:rsidR="006904E2" w:rsidRDefault="00010018">
            <w:pPr>
              <w:pStyle w:val="BodyText"/>
              <w:jc w:val="center"/>
            </w:pPr>
            <w:r>
              <w:rPr>
                <w:rFonts w:asciiTheme="minorHAnsi" w:hAnsiTheme="minorHAnsi"/>
                <w:sz w:val="20"/>
                <w:szCs w:val="20"/>
              </w:rPr>
              <w:t>-</w:t>
            </w:r>
          </w:p>
        </w:tc>
        <w:tc>
          <w:tcPr>
            <w:tcW w:w="1921" w:type="dxa"/>
            <w:tcBorders>
              <w:top w:val="nil"/>
            </w:tcBorders>
            <w:shd w:val="clear" w:color="auto" w:fill="auto"/>
            <w:tcMar>
              <w:left w:w="23" w:type="dxa"/>
            </w:tcMar>
            <w:vAlign w:val="center"/>
          </w:tcPr>
          <w:p w:rsidR="006904E2" w:rsidRDefault="00010018">
            <w:pPr>
              <w:pStyle w:val="BodyText"/>
              <w:jc w:val="center"/>
            </w:pPr>
            <w:r>
              <w:rPr>
                <w:rFonts w:asciiTheme="minorHAnsi" w:hAnsiTheme="minorHAnsi"/>
                <w:sz w:val="20"/>
                <w:szCs w:val="20"/>
              </w:rPr>
              <w:t>IALA Guideline 1113, para 3.2</w:t>
            </w:r>
          </w:p>
        </w:tc>
        <w:tc>
          <w:tcPr>
            <w:tcW w:w="975" w:type="dxa"/>
            <w:tcBorders>
              <w:top w:val="nil"/>
            </w:tcBorders>
            <w:shd w:val="clear" w:color="auto" w:fill="auto"/>
            <w:tcMar>
              <w:left w:w="23" w:type="dxa"/>
            </w:tcMar>
            <w:vAlign w:val="center"/>
          </w:tcPr>
          <w:p w:rsidR="006904E2" w:rsidRDefault="00010018">
            <w:pPr>
              <w:pStyle w:val="BodyText"/>
              <w:jc w:val="center"/>
              <w:rPr>
                <w:rFonts w:asciiTheme="minorHAnsi" w:hAnsiTheme="minorHAnsi"/>
                <w:sz w:val="20"/>
                <w:szCs w:val="20"/>
              </w:rPr>
            </w:pPr>
            <w:r>
              <w:rPr>
                <w:rFonts w:asciiTheme="minorHAnsi" w:hAnsiTheme="minorHAnsi"/>
                <w:sz w:val="20"/>
                <w:szCs w:val="20"/>
              </w:rPr>
              <w:t>-</w:t>
            </w:r>
          </w:p>
        </w:tc>
        <w:tc>
          <w:tcPr>
            <w:tcW w:w="4365" w:type="dxa"/>
            <w:tcBorders>
              <w:top w:val="nil"/>
            </w:tcBorders>
            <w:shd w:val="clear" w:color="auto" w:fill="auto"/>
            <w:tcMar>
              <w:left w:w="23" w:type="dxa"/>
            </w:tcMar>
            <w:vAlign w:val="center"/>
          </w:tcPr>
          <w:p w:rsidR="006904E2" w:rsidRDefault="00010018">
            <w:pPr>
              <w:pStyle w:val="BodyText"/>
              <w:rPr>
                <w:rFonts w:asciiTheme="minorHAnsi" w:hAnsiTheme="minorHAnsi"/>
                <w:sz w:val="20"/>
                <w:szCs w:val="20"/>
                <w:lang w:val="en-US"/>
              </w:rPr>
            </w:pPr>
            <w:r>
              <w:rPr>
                <w:rFonts w:asciiTheme="minorHAnsi" w:hAnsiTheme="minorHAnsi"/>
                <w:sz w:val="20"/>
                <w:szCs w:val="20"/>
                <w:lang w:val="en-US"/>
              </w:rPr>
              <w:t>Layering is a structuring methodology</w:t>
            </w:r>
            <w:r w:rsidR="0085101D">
              <w:rPr>
                <w:rFonts w:asciiTheme="minorHAnsi" w:hAnsiTheme="minorHAnsi"/>
                <w:sz w:val="20"/>
                <w:szCs w:val="20"/>
                <w:lang w:val="en-US"/>
              </w:rPr>
              <w:t>,</w:t>
            </w:r>
            <w:r>
              <w:rPr>
                <w:rFonts w:asciiTheme="minorHAnsi" w:hAnsiTheme="minorHAnsi"/>
                <w:sz w:val="20"/>
                <w:szCs w:val="20"/>
                <w:lang w:val="en-US"/>
              </w:rPr>
              <w:t xml:space="preserve"> which permits the relevant aspects of the desired information/data, services, and systems to be viewed as logically composed of a hierarchy of layers, each wrapping the lower layers and separating them from the higher layers.</w:t>
            </w:r>
          </w:p>
        </w:tc>
        <w:tc>
          <w:tcPr>
            <w:tcW w:w="1081" w:type="dxa"/>
            <w:tcBorders>
              <w:top w:val="nil"/>
            </w:tcBorders>
            <w:shd w:val="clear" w:color="auto" w:fill="auto"/>
            <w:tcMar>
              <w:left w:w="23" w:type="dxa"/>
            </w:tcMar>
            <w:vAlign w:val="center"/>
          </w:tcPr>
          <w:p w:rsidR="006904E2" w:rsidRDefault="006904E2">
            <w:pPr>
              <w:pStyle w:val="BodyText"/>
              <w:jc w:val="center"/>
              <w:rPr>
                <w:rFonts w:asciiTheme="minorHAnsi" w:hAnsiTheme="minorHAnsi"/>
                <w:sz w:val="20"/>
                <w:szCs w:val="20"/>
              </w:rPr>
            </w:pPr>
          </w:p>
        </w:tc>
        <w:tc>
          <w:tcPr>
            <w:tcW w:w="1125" w:type="dxa"/>
            <w:tcBorders>
              <w:top w:val="nil"/>
            </w:tcBorders>
            <w:shd w:val="clear" w:color="auto" w:fill="auto"/>
            <w:tcMar>
              <w:left w:w="23" w:type="dxa"/>
            </w:tcMar>
            <w:vAlign w:val="center"/>
          </w:tcPr>
          <w:p w:rsidR="006904E2" w:rsidRDefault="006904E2">
            <w:pPr>
              <w:pStyle w:val="BodyText"/>
              <w:jc w:val="center"/>
              <w:rPr>
                <w:rFonts w:asciiTheme="minorHAnsi" w:hAnsiTheme="minorHAnsi"/>
                <w:sz w:val="20"/>
                <w:szCs w:val="20"/>
              </w:rPr>
            </w:pPr>
          </w:p>
        </w:tc>
        <w:tc>
          <w:tcPr>
            <w:tcW w:w="997" w:type="dxa"/>
            <w:tcBorders>
              <w:top w:val="nil"/>
            </w:tcBorders>
            <w:shd w:val="clear" w:color="auto" w:fill="auto"/>
            <w:tcMar>
              <w:left w:w="23" w:type="dxa"/>
            </w:tcMar>
            <w:vAlign w:val="center"/>
          </w:tcPr>
          <w:p w:rsidR="006904E2" w:rsidRDefault="00010018">
            <w:pPr>
              <w:pStyle w:val="BodyText"/>
              <w:jc w:val="left"/>
              <w:rPr>
                <w:rFonts w:asciiTheme="minorHAnsi" w:hAnsiTheme="minorHAnsi"/>
                <w:sz w:val="20"/>
                <w:szCs w:val="20"/>
              </w:rPr>
            </w:pPr>
            <w:r>
              <w:rPr>
                <w:rFonts w:ascii="Calibri" w:hAnsi="Calibri"/>
                <w:sz w:val="20"/>
                <w:szCs w:val="20"/>
              </w:rPr>
              <w:t xml:space="preserve">New term </w:t>
            </w:r>
          </w:p>
        </w:tc>
        <w:tc>
          <w:tcPr>
            <w:tcW w:w="1072" w:type="dxa"/>
            <w:tcBorders>
              <w:top w:val="nil"/>
            </w:tcBorders>
            <w:shd w:val="clear" w:color="auto" w:fill="auto"/>
            <w:tcMar>
              <w:left w:w="23" w:type="dxa"/>
            </w:tcMar>
            <w:vAlign w:val="center"/>
          </w:tcPr>
          <w:p w:rsidR="006904E2" w:rsidRDefault="00010018">
            <w:pPr>
              <w:pStyle w:val="BodyText"/>
              <w:jc w:val="left"/>
              <w:rPr>
                <w:rFonts w:asciiTheme="minorHAnsi" w:hAnsiTheme="minorHAnsi"/>
                <w:sz w:val="20"/>
                <w:szCs w:val="20"/>
              </w:rPr>
            </w:pPr>
            <w:r>
              <w:rPr>
                <w:rFonts w:ascii="Calibri" w:hAnsi="Calibri"/>
                <w:sz w:val="20"/>
                <w:szCs w:val="20"/>
              </w:rPr>
              <w:t>May 2015</w:t>
            </w:r>
          </w:p>
        </w:tc>
        <w:tc>
          <w:tcPr>
            <w:tcW w:w="924" w:type="dxa"/>
            <w:tcBorders>
              <w:top w:val="nil"/>
            </w:tcBorders>
            <w:shd w:val="clear" w:color="auto" w:fill="auto"/>
            <w:tcMar>
              <w:left w:w="23" w:type="dxa"/>
            </w:tcMar>
            <w:vAlign w:val="center"/>
          </w:tcPr>
          <w:p w:rsidR="006904E2" w:rsidRDefault="00010018">
            <w:pPr>
              <w:pStyle w:val="BodyText"/>
              <w:rPr>
                <w:rFonts w:asciiTheme="minorHAnsi" w:hAnsiTheme="minorHAnsi"/>
                <w:sz w:val="20"/>
                <w:szCs w:val="20"/>
              </w:rPr>
            </w:pPr>
            <w:r>
              <w:rPr>
                <w:rFonts w:ascii="Calibri" w:hAnsi="Calibri"/>
                <w:sz w:val="20"/>
                <w:szCs w:val="20"/>
              </w:rPr>
              <w:t>IALA Council approved</w:t>
            </w:r>
          </w:p>
        </w:tc>
      </w:tr>
      <w:tr w:rsidR="006904E2">
        <w:tc>
          <w:tcPr>
            <w:tcW w:w="1364" w:type="dxa"/>
            <w:tcBorders>
              <w:top w:val="nil"/>
            </w:tcBorders>
            <w:shd w:val="clear" w:color="auto" w:fill="auto"/>
            <w:tcMar>
              <w:left w:w="23" w:type="dxa"/>
            </w:tcMar>
            <w:vAlign w:val="center"/>
          </w:tcPr>
          <w:p w:rsidR="006904E2" w:rsidRDefault="00010018">
            <w:pPr>
              <w:pStyle w:val="BodyText"/>
              <w:jc w:val="center"/>
              <w:rPr>
                <w:rFonts w:asciiTheme="minorHAnsi" w:hAnsiTheme="minorHAnsi"/>
                <w:sz w:val="20"/>
                <w:szCs w:val="20"/>
              </w:rPr>
            </w:pPr>
            <w:r>
              <w:rPr>
                <w:rFonts w:asciiTheme="minorHAnsi" w:hAnsiTheme="minorHAnsi"/>
                <w:sz w:val="20"/>
                <w:szCs w:val="20"/>
              </w:rPr>
              <w:t>Common Shore-based System (CSS)</w:t>
            </w:r>
          </w:p>
        </w:tc>
        <w:tc>
          <w:tcPr>
            <w:tcW w:w="960" w:type="dxa"/>
            <w:tcBorders>
              <w:top w:val="nil"/>
            </w:tcBorders>
            <w:shd w:val="clear" w:color="auto" w:fill="auto"/>
            <w:tcMar>
              <w:left w:w="23" w:type="dxa"/>
            </w:tcMar>
            <w:vAlign w:val="center"/>
          </w:tcPr>
          <w:p w:rsidR="006904E2" w:rsidRDefault="00010018">
            <w:pPr>
              <w:pStyle w:val="BodyText"/>
              <w:jc w:val="center"/>
            </w:pPr>
            <w:r>
              <w:rPr>
                <w:rFonts w:asciiTheme="minorHAnsi" w:hAnsiTheme="minorHAnsi"/>
                <w:sz w:val="20"/>
                <w:szCs w:val="20"/>
              </w:rPr>
              <w:t>-</w:t>
            </w:r>
          </w:p>
        </w:tc>
        <w:tc>
          <w:tcPr>
            <w:tcW w:w="1921" w:type="dxa"/>
            <w:tcBorders>
              <w:top w:val="nil"/>
            </w:tcBorders>
            <w:shd w:val="clear" w:color="auto" w:fill="auto"/>
            <w:tcMar>
              <w:left w:w="23" w:type="dxa"/>
            </w:tcMar>
            <w:vAlign w:val="center"/>
          </w:tcPr>
          <w:p w:rsidR="006904E2" w:rsidRDefault="00010018">
            <w:pPr>
              <w:pStyle w:val="BodyText"/>
              <w:jc w:val="center"/>
            </w:pPr>
            <w:r>
              <w:rPr>
                <w:rFonts w:asciiTheme="minorHAnsi" w:hAnsiTheme="minorHAnsi"/>
                <w:sz w:val="20"/>
                <w:szCs w:val="20"/>
              </w:rPr>
              <w:t>IALA Guideline 1113, chapter 4, intro, and IALA Guideline 1114, Chapter 1</w:t>
            </w:r>
          </w:p>
        </w:tc>
        <w:tc>
          <w:tcPr>
            <w:tcW w:w="975" w:type="dxa"/>
            <w:tcBorders>
              <w:top w:val="nil"/>
            </w:tcBorders>
            <w:shd w:val="clear" w:color="auto" w:fill="auto"/>
            <w:tcMar>
              <w:left w:w="23" w:type="dxa"/>
            </w:tcMar>
            <w:vAlign w:val="center"/>
          </w:tcPr>
          <w:p w:rsidR="006904E2" w:rsidRDefault="00010018">
            <w:pPr>
              <w:pStyle w:val="BodyText"/>
              <w:jc w:val="center"/>
              <w:rPr>
                <w:rFonts w:asciiTheme="minorHAnsi" w:hAnsiTheme="minorHAnsi"/>
                <w:sz w:val="20"/>
                <w:szCs w:val="20"/>
              </w:rPr>
            </w:pPr>
            <w:r>
              <w:rPr>
                <w:rFonts w:asciiTheme="minorHAnsi" w:hAnsiTheme="minorHAnsi"/>
                <w:sz w:val="20"/>
                <w:szCs w:val="20"/>
              </w:rPr>
              <w:t>-</w:t>
            </w:r>
          </w:p>
        </w:tc>
        <w:tc>
          <w:tcPr>
            <w:tcW w:w="4365" w:type="dxa"/>
            <w:tcBorders>
              <w:top w:val="nil"/>
            </w:tcBorders>
            <w:shd w:val="clear" w:color="auto" w:fill="auto"/>
            <w:tcMar>
              <w:left w:w="23" w:type="dxa"/>
            </w:tcMar>
            <w:vAlign w:val="center"/>
          </w:tcPr>
          <w:p w:rsidR="006904E2" w:rsidRDefault="00010018" w:rsidP="0085101D">
            <w:pPr>
              <w:pStyle w:val="BodyText"/>
              <w:rPr>
                <w:rFonts w:asciiTheme="minorHAnsi" w:hAnsiTheme="minorHAnsi"/>
                <w:sz w:val="20"/>
                <w:szCs w:val="20"/>
                <w:lang w:val="en-US"/>
              </w:rPr>
            </w:pPr>
            <w:r>
              <w:rPr>
                <w:rFonts w:asciiTheme="minorHAnsi" w:hAnsiTheme="minorHAnsi"/>
                <w:sz w:val="20"/>
                <w:szCs w:val="20"/>
                <w:lang w:val="en-US"/>
              </w:rPr>
              <w:t>Common Shore-based System (CSS) is a generic name for the shore-based technical system,</w:t>
            </w:r>
            <w:r w:rsidR="0085101D">
              <w:rPr>
                <w:rFonts w:asciiTheme="minorHAnsi" w:hAnsiTheme="minorHAnsi"/>
                <w:sz w:val="20"/>
                <w:szCs w:val="20"/>
                <w:lang w:val="en-US"/>
              </w:rPr>
              <w:t xml:space="preserve"> </w:t>
            </w:r>
            <w:r>
              <w:rPr>
                <w:rFonts w:asciiTheme="minorHAnsi" w:hAnsiTheme="minorHAnsi"/>
                <w:sz w:val="20"/>
                <w:szCs w:val="20"/>
                <w:lang w:val="en-US"/>
              </w:rPr>
              <w:t>which is designed and built in accordance with the principles of the Common Shore-based System</w:t>
            </w:r>
            <w:r w:rsidR="0085101D">
              <w:rPr>
                <w:rFonts w:asciiTheme="minorHAnsi" w:hAnsiTheme="minorHAnsi"/>
                <w:sz w:val="20"/>
                <w:szCs w:val="20"/>
                <w:lang w:val="en-US"/>
              </w:rPr>
              <w:t xml:space="preserve"> Architecture (CSSA). ‘Common’ here is</w:t>
            </w:r>
            <w:r>
              <w:rPr>
                <w:rFonts w:asciiTheme="minorHAnsi" w:hAnsiTheme="minorHAnsi"/>
                <w:sz w:val="20"/>
                <w:szCs w:val="20"/>
                <w:lang w:val="en-US"/>
              </w:rPr>
              <w:t xml:space="preserve"> used in</w:t>
            </w:r>
            <w:r w:rsidR="0085101D">
              <w:rPr>
                <w:rFonts w:asciiTheme="minorHAnsi" w:hAnsiTheme="minorHAnsi"/>
                <w:sz w:val="20"/>
                <w:szCs w:val="20"/>
                <w:lang w:val="en-US"/>
              </w:rPr>
              <w:t xml:space="preserve"> the </w:t>
            </w:r>
            <w:r>
              <w:rPr>
                <w:rFonts w:asciiTheme="minorHAnsi" w:hAnsiTheme="minorHAnsi"/>
                <w:sz w:val="20"/>
                <w:szCs w:val="20"/>
                <w:lang w:val="en-US"/>
              </w:rPr>
              <w:t xml:space="preserve">meaning </w:t>
            </w:r>
            <w:proofErr w:type="gramStart"/>
            <w:r>
              <w:rPr>
                <w:rFonts w:asciiTheme="minorHAnsi" w:hAnsiTheme="minorHAnsi"/>
                <w:sz w:val="20"/>
                <w:szCs w:val="20"/>
                <w:lang w:val="en-US"/>
              </w:rPr>
              <w:t>of  several</w:t>
            </w:r>
            <w:proofErr w:type="gramEnd"/>
            <w:r>
              <w:rPr>
                <w:rFonts w:asciiTheme="minorHAnsi" w:hAnsiTheme="minorHAnsi"/>
                <w:sz w:val="20"/>
                <w:szCs w:val="20"/>
                <w:lang w:val="en-US"/>
              </w:rPr>
              <w:t xml:space="preserve">  shore  authorities employing a similar system architecture when designing and implementing their shore-based infrastructure; ‘common’ is not meant to mean that they are sharing the very same shore-based infrastructure.</w:t>
            </w:r>
          </w:p>
        </w:tc>
        <w:tc>
          <w:tcPr>
            <w:tcW w:w="1081" w:type="dxa"/>
            <w:tcBorders>
              <w:top w:val="nil"/>
            </w:tcBorders>
            <w:shd w:val="clear" w:color="auto" w:fill="auto"/>
            <w:tcMar>
              <w:left w:w="23" w:type="dxa"/>
            </w:tcMar>
            <w:vAlign w:val="center"/>
          </w:tcPr>
          <w:p w:rsidR="006904E2" w:rsidRDefault="006904E2">
            <w:pPr>
              <w:pStyle w:val="BodyText"/>
              <w:jc w:val="center"/>
              <w:rPr>
                <w:rFonts w:asciiTheme="minorHAnsi" w:hAnsiTheme="minorHAnsi"/>
                <w:sz w:val="20"/>
                <w:szCs w:val="20"/>
              </w:rPr>
            </w:pPr>
          </w:p>
        </w:tc>
        <w:tc>
          <w:tcPr>
            <w:tcW w:w="1125" w:type="dxa"/>
            <w:tcBorders>
              <w:top w:val="nil"/>
            </w:tcBorders>
            <w:shd w:val="clear" w:color="auto" w:fill="auto"/>
            <w:tcMar>
              <w:left w:w="23" w:type="dxa"/>
            </w:tcMar>
            <w:vAlign w:val="center"/>
          </w:tcPr>
          <w:p w:rsidR="006904E2" w:rsidRDefault="006904E2">
            <w:pPr>
              <w:pStyle w:val="BodyText"/>
              <w:jc w:val="center"/>
              <w:rPr>
                <w:rFonts w:asciiTheme="minorHAnsi" w:hAnsiTheme="minorHAnsi"/>
                <w:sz w:val="20"/>
                <w:szCs w:val="20"/>
              </w:rPr>
            </w:pPr>
          </w:p>
        </w:tc>
        <w:tc>
          <w:tcPr>
            <w:tcW w:w="997" w:type="dxa"/>
            <w:tcBorders>
              <w:top w:val="nil"/>
            </w:tcBorders>
            <w:shd w:val="clear" w:color="auto" w:fill="auto"/>
            <w:tcMar>
              <w:left w:w="23" w:type="dxa"/>
            </w:tcMar>
            <w:vAlign w:val="center"/>
          </w:tcPr>
          <w:p w:rsidR="006904E2" w:rsidRDefault="00010018">
            <w:pPr>
              <w:pStyle w:val="BodyText"/>
              <w:jc w:val="left"/>
              <w:rPr>
                <w:rFonts w:asciiTheme="minorHAnsi" w:hAnsiTheme="minorHAnsi"/>
                <w:sz w:val="20"/>
                <w:szCs w:val="20"/>
              </w:rPr>
            </w:pPr>
            <w:r>
              <w:rPr>
                <w:rFonts w:ascii="Calibri" w:hAnsi="Calibri"/>
                <w:sz w:val="20"/>
                <w:szCs w:val="20"/>
              </w:rPr>
              <w:t xml:space="preserve">New term </w:t>
            </w:r>
          </w:p>
        </w:tc>
        <w:tc>
          <w:tcPr>
            <w:tcW w:w="1072" w:type="dxa"/>
            <w:tcBorders>
              <w:top w:val="nil"/>
            </w:tcBorders>
            <w:shd w:val="clear" w:color="auto" w:fill="auto"/>
            <w:tcMar>
              <w:left w:w="23" w:type="dxa"/>
            </w:tcMar>
            <w:vAlign w:val="center"/>
          </w:tcPr>
          <w:p w:rsidR="006904E2" w:rsidRDefault="00010018">
            <w:pPr>
              <w:pStyle w:val="BodyText"/>
              <w:jc w:val="left"/>
              <w:rPr>
                <w:rFonts w:asciiTheme="minorHAnsi" w:hAnsiTheme="minorHAnsi"/>
                <w:sz w:val="20"/>
                <w:szCs w:val="20"/>
              </w:rPr>
            </w:pPr>
            <w:r>
              <w:rPr>
                <w:rFonts w:ascii="Calibri" w:hAnsi="Calibri"/>
                <w:sz w:val="20"/>
                <w:szCs w:val="20"/>
              </w:rPr>
              <w:t>May 2015</w:t>
            </w:r>
          </w:p>
        </w:tc>
        <w:tc>
          <w:tcPr>
            <w:tcW w:w="924" w:type="dxa"/>
            <w:tcBorders>
              <w:top w:val="nil"/>
            </w:tcBorders>
            <w:shd w:val="clear" w:color="auto" w:fill="auto"/>
            <w:tcMar>
              <w:left w:w="23" w:type="dxa"/>
            </w:tcMar>
            <w:vAlign w:val="center"/>
          </w:tcPr>
          <w:p w:rsidR="006904E2" w:rsidRDefault="00010018">
            <w:pPr>
              <w:pStyle w:val="BodyText"/>
              <w:rPr>
                <w:rFonts w:asciiTheme="minorHAnsi" w:hAnsiTheme="minorHAnsi"/>
                <w:sz w:val="20"/>
                <w:szCs w:val="20"/>
              </w:rPr>
            </w:pPr>
            <w:r>
              <w:rPr>
                <w:rFonts w:ascii="Calibri" w:hAnsi="Calibri"/>
                <w:sz w:val="20"/>
                <w:szCs w:val="20"/>
              </w:rPr>
              <w:t>IALA Council approved</w:t>
            </w:r>
          </w:p>
        </w:tc>
      </w:tr>
      <w:tr w:rsidR="006904E2">
        <w:tc>
          <w:tcPr>
            <w:tcW w:w="1364" w:type="dxa"/>
            <w:tcBorders>
              <w:top w:val="nil"/>
            </w:tcBorders>
            <w:shd w:val="clear" w:color="auto" w:fill="auto"/>
            <w:tcMar>
              <w:left w:w="23" w:type="dxa"/>
            </w:tcMar>
            <w:vAlign w:val="center"/>
          </w:tcPr>
          <w:p w:rsidR="006904E2" w:rsidRDefault="00010018">
            <w:pPr>
              <w:pStyle w:val="BodyText"/>
              <w:jc w:val="center"/>
              <w:rPr>
                <w:rFonts w:asciiTheme="minorHAnsi" w:hAnsiTheme="minorHAnsi"/>
                <w:sz w:val="20"/>
                <w:szCs w:val="20"/>
              </w:rPr>
            </w:pPr>
            <w:r>
              <w:rPr>
                <w:rFonts w:asciiTheme="minorHAnsi" w:hAnsiTheme="minorHAnsi"/>
                <w:sz w:val="20"/>
                <w:szCs w:val="20"/>
              </w:rPr>
              <w:t>Common Shore-based System Architecture (CSSA)</w:t>
            </w:r>
          </w:p>
        </w:tc>
        <w:tc>
          <w:tcPr>
            <w:tcW w:w="960" w:type="dxa"/>
            <w:tcBorders>
              <w:top w:val="nil"/>
            </w:tcBorders>
            <w:shd w:val="clear" w:color="auto" w:fill="auto"/>
            <w:tcMar>
              <w:left w:w="23" w:type="dxa"/>
            </w:tcMar>
            <w:vAlign w:val="center"/>
          </w:tcPr>
          <w:p w:rsidR="006904E2" w:rsidRDefault="00010018">
            <w:pPr>
              <w:pStyle w:val="BodyText"/>
              <w:jc w:val="center"/>
            </w:pPr>
            <w:r>
              <w:rPr>
                <w:rFonts w:asciiTheme="minorHAnsi" w:hAnsiTheme="minorHAnsi"/>
                <w:sz w:val="20"/>
                <w:szCs w:val="20"/>
              </w:rPr>
              <w:t>-</w:t>
            </w:r>
          </w:p>
        </w:tc>
        <w:tc>
          <w:tcPr>
            <w:tcW w:w="1921" w:type="dxa"/>
            <w:tcBorders>
              <w:top w:val="nil"/>
            </w:tcBorders>
            <w:shd w:val="clear" w:color="auto" w:fill="auto"/>
            <w:tcMar>
              <w:left w:w="23" w:type="dxa"/>
            </w:tcMar>
            <w:vAlign w:val="center"/>
          </w:tcPr>
          <w:p w:rsidR="006904E2" w:rsidRDefault="00010018">
            <w:pPr>
              <w:pStyle w:val="BodyText"/>
              <w:jc w:val="center"/>
            </w:pPr>
            <w:r>
              <w:rPr>
                <w:rFonts w:asciiTheme="minorHAnsi" w:hAnsiTheme="minorHAnsi"/>
                <w:sz w:val="20"/>
                <w:szCs w:val="20"/>
              </w:rPr>
              <w:t>IALA Guideline 1113, chapter 4, intro, in conjunction with para 2.2</w:t>
            </w:r>
          </w:p>
        </w:tc>
        <w:tc>
          <w:tcPr>
            <w:tcW w:w="975" w:type="dxa"/>
            <w:tcBorders>
              <w:top w:val="nil"/>
            </w:tcBorders>
            <w:shd w:val="clear" w:color="auto" w:fill="auto"/>
            <w:tcMar>
              <w:left w:w="23" w:type="dxa"/>
            </w:tcMar>
            <w:vAlign w:val="center"/>
          </w:tcPr>
          <w:p w:rsidR="006904E2" w:rsidRDefault="00010018">
            <w:pPr>
              <w:pStyle w:val="BodyText"/>
              <w:jc w:val="center"/>
              <w:rPr>
                <w:rFonts w:asciiTheme="minorHAnsi" w:hAnsiTheme="minorHAnsi"/>
                <w:sz w:val="20"/>
                <w:szCs w:val="20"/>
              </w:rPr>
            </w:pPr>
            <w:r>
              <w:rPr>
                <w:rFonts w:asciiTheme="minorHAnsi" w:hAnsiTheme="minorHAnsi"/>
                <w:sz w:val="20"/>
                <w:szCs w:val="20"/>
              </w:rPr>
              <w:t>-</w:t>
            </w:r>
          </w:p>
        </w:tc>
        <w:tc>
          <w:tcPr>
            <w:tcW w:w="4365" w:type="dxa"/>
            <w:tcBorders>
              <w:top w:val="nil"/>
            </w:tcBorders>
            <w:shd w:val="clear" w:color="auto" w:fill="auto"/>
            <w:tcMar>
              <w:left w:w="23" w:type="dxa"/>
            </w:tcMar>
            <w:vAlign w:val="center"/>
          </w:tcPr>
          <w:p w:rsidR="006904E2" w:rsidRDefault="00010018">
            <w:pPr>
              <w:pStyle w:val="BodyText"/>
              <w:rPr>
                <w:rFonts w:asciiTheme="minorHAnsi" w:hAnsiTheme="minorHAnsi"/>
                <w:sz w:val="20"/>
                <w:szCs w:val="20"/>
                <w:lang w:val="en-US"/>
              </w:rPr>
            </w:pPr>
            <w:r>
              <w:rPr>
                <w:rFonts w:asciiTheme="minorHAnsi" w:hAnsiTheme="minorHAnsi"/>
                <w:sz w:val="20"/>
                <w:szCs w:val="20"/>
                <w:lang w:val="en-US"/>
              </w:rPr>
              <w:t xml:space="preserve">Common Shore-based System Architecture (CSSA) is a generic name for the architecture of a shore-based infrastructure, which achieves minimum common service levels for the shore-provided services and a smooth transition for the shipboard electronic environment when passing through adjacent areas of provision of the same technical service provided by different shore-based systems. To that end, the CSSA achieves and exploits commonalities of the </w:t>
            </w:r>
            <w:r>
              <w:rPr>
                <w:rFonts w:asciiTheme="minorHAnsi" w:hAnsiTheme="minorHAnsi"/>
                <w:sz w:val="20"/>
                <w:szCs w:val="20"/>
                <w:lang w:val="en-US"/>
              </w:rPr>
              <w:lastRenderedPageBreak/>
              <w:t>data  objects  and  their  encoding  formats  exchanged  between  the  shore-based  technical systems interacting with the electronic environments of transiting vessels. By ‘common’ it is not implied to say ‘shared’ which is the other major meaning of the word.</w:t>
            </w:r>
          </w:p>
        </w:tc>
        <w:tc>
          <w:tcPr>
            <w:tcW w:w="1081" w:type="dxa"/>
            <w:tcBorders>
              <w:top w:val="nil"/>
            </w:tcBorders>
            <w:shd w:val="clear" w:color="auto" w:fill="auto"/>
            <w:tcMar>
              <w:left w:w="23" w:type="dxa"/>
            </w:tcMar>
            <w:vAlign w:val="center"/>
          </w:tcPr>
          <w:p w:rsidR="006904E2" w:rsidRDefault="006904E2">
            <w:pPr>
              <w:pStyle w:val="BodyText"/>
              <w:jc w:val="center"/>
              <w:rPr>
                <w:rFonts w:asciiTheme="minorHAnsi" w:hAnsiTheme="minorHAnsi"/>
                <w:sz w:val="20"/>
                <w:szCs w:val="20"/>
              </w:rPr>
            </w:pPr>
          </w:p>
        </w:tc>
        <w:tc>
          <w:tcPr>
            <w:tcW w:w="1125" w:type="dxa"/>
            <w:tcBorders>
              <w:top w:val="nil"/>
            </w:tcBorders>
            <w:shd w:val="clear" w:color="auto" w:fill="auto"/>
            <w:tcMar>
              <w:left w:w="23" w:type="dxa"/>
            </w:tcMar>
            <w:vAlign w:val="center"/>
          </w:tcPr>
          <w:p w:rsidR="006904E2" w:rsidRDefault="006904E2">
            <w:pPr>
              <w:pStyle w:val="BodyText"/>
              <w:jc w:val="center"/>
              <w:rPr>
                <w:rFonts w:asciiTheme="minorHAnsi" w:hAnsiTheme="minorHAnsi"/>
                <w:sz w:val="20"/>
                <w:szCs w:val="20"/>
              </w:rPr>
            </w:pPr>
          </w:p>
        </w:tc>
        <w:tc>
          <w:tcPr>
            <w:tcW w:w="997" w:type="dxa"/>
            <w:tcBorders>
              <w:top w:val="nil"/>
              <w:left w:val="nil"/>
              <w:right w:val="nil"/>
            </w:tcBorders>
            <w:shd w:val="clear" w:color="auto" w:fill="auto"/>
            <w:vAlign w:val="center"/>
          </w:tcPr>
          <w:p w:rsidR="006904E2" w:rsidRDefault="00010018">
            <w:pPr>
              <w:pStyle w:val="BodyText"/>
              <w:jc w:val="left"/>
              <w:rPr>
                <w:rFonts w:asciiTheme="minorHAnsi" w:hAnsiTheme="minorHAnsi"/>
                <w:sz w:val="20"/>
                <w:szCs w:val="20"/>
              </w:rPr>
            </w:pPr>
            <w:r>
              <w:rPr>
                <w:rFonts w:ascii="Calibri" w:hAnsi="Calibri"/>
                <w:sz w:val="20"/>
                <w:szCs w:val="20"/>
              </w:rPr>
              <w:t xml:space="preserve">New term </w:t>
            </w:r>
          </w:p>
        </w:tc>
        <w:tc>
          <w:tcPr>
            <w:tcW w:w="1072" w:type="dxa"/>
            <w:tcBorders>
              <w:top w:val="nil"/>
              <w:left w:val="nil"/>
              <w:right w:val="nil"/>
            </w:tcBorders>
            <w:shd w:val="clear" w:color="auto" w:fill="auto"/>
            <w:vAlign w:val="center"/>
          </w:tcPr>
          <w:p w:rsidR="006904E2" w:rsidRDefault="00010018">
            <w:pPr>
              <w:pStyle w:val="BodyText"/>
              <w:jc w:val="left"/>
              <w:rPr>
                <w:rFonts w:asciiTheme="minorHAnsi" w:hAnsiTheme="minorHAnsi"/>
                <w:sz w:val="20"/>
                <w:szCs w:val="20"/>
              </w:rPr>
            </w:pPr>
            <w:r>
              <w:rPr>
                <w:rFonts w:ascii="Calibri" w:hAnsi="Calibri"/>
                <w:sz w:val="20"/>
                <w:szCs w:val="20"/>
              </w:rPr>
              <w:t>May 2015</w:t>
            </w:r>
          </w:p>
        </w:tc>
        <w:tc>
          <w:tcPr>
            <w:tcW w:w="924" w:type="dxa"/>
            <w:tcBorders>
              <w:top w:val="nil"/>
            </w:tcBorders>
            <w:shd w:val="clear" w:color="auto" w:fill="auto"/>
            <w:tcMar>
              <w:left w:w="23" w:type="dxa"/>
            </w:tcMar>
            <w:vAlign w:val="center"/>
          </w:tcPr>
          <w:p w:rsidR="006904E2" w:rsidRDefault="00010018">
            <w:pPr>
              <w:pStyle w:val="BodyText"/>
              <w:rPr>
                <w:rFonts w:asciiTheme="minorHAnsi" w:hAnsiTheme="minorHAnsi"/>
                <w:sz w:val="20"/>
                <w:szCs w:val="20"/>
              </w:rPr>
            </w:pPr>
            <w:r>
              <w:rPr>
                <w:rFonts w:ascii="Calibri" w:hAnsi="Calibri"/>
                <w:sz w:val="20"/>
                <w:szCs w:val="20"/>
              </w:rPr>
              <w:t>IALA Council approved</w:t>
            </w:r>
          </w:p>
        </w:tc>
      </w:tr>
      <w:tr w:rsidR="006904E2">
        <w:tc>
          <w:tcPr>
            <w:tcW w:w="1364" w:type="dxa"/>
            <w:tcBorders>
              <w:top w:val="nil"/>
            </w:tcBorders>
            <w:shd w:val="clear" w:color="auto" w:fill="auto"/>
            <w:tcMar>
              <w:left w:w="23" w:type="dxa"/>
            </w:tcMar>
            <w:vAlign w:val="center"/>
          </w:tcPr>
          <w:p w:rsidR="006904E2" w:rsidRDefault="00010018">
            <w:pPr>
              <w:pStyle w:val="BodyText"/>
              <w:jc w:val="left"/>
              <w:rPr>
                <w:rFonts w:asciiTheme="minorHAnsi" w:hAnsiTheme="minorHAnsi"/>
                <w:sz w:val="20"/>
                <w:szCs w:val="20"/>
                <w:lang w:val="en-US"/>
              </w:rPr>
            </w:pPr>
            <w:r>
              <w:rPr>
                <w:rFonts w:asciiTheme="minorHAnsi" w:hAnsiTheme="minorHAnsi"/>
                <w:sz w:val="20"/>
                <w:szCs w:val="20"/>
                <w:u w:val="single"/>
                <w:lang w:val="en-US"/>
              </w:rPr>
              <w:lastRenderedPageBreak/>
              <w:t>D</w:t>
            </w:r>
            <w:r>
              <w:rPr>
                <w:rFonts w:asciiTheme="minorHAnsi" w:hAnsiTheme="minorHAnsi"/>
                <w:sz w:val="20"/>
                <w:szCs w:val="20"/>
                <w:lang w:val="en-US"/>
              </w:rPr>
              <w:t xml:space="preserve">ata </w:t>
            </w:r>
            <w:r>
              <w:rPr>
                <w:rFonts w:asciiTheme="minorHAnsi" w:hAnsiTheme="minorHAnsi"/>
                <w:sz w:val="20"/>
                <w:szCs w:val="20"/>
                <w:u w:val="single"/>
                <w:lang w:val="en-US"/>
              </w:rPr>
              <w:t>C</w:t>
            </w:r>
            <w:r>
              <w:rPr>
                <w:rFonts w:asciiTheme="minorHAnsi" w:hAnsiTheme="minorHAnsi"/>
                <w:sz w:val="20"/>
                <w:szCs w:val="20"/>
                <w:lang w:val="en-US"/>
              </w:rPr>
              <w:t xml:space="preserve">ollection and Data </w:t>
            </w:r>
            <w:r>
              <w:rPr>
                <w:rFonts w:asciiTheme="minorHAnsi" w:hAnsiTheme="minorHAnsi"/>
                <w:sz w:val="20"/>
                <w:szCs w:val="20"/>
                <w:u w:val="single"/>
                <w:lang w:val="en-US"/>
              </w:rPr>
              <w:t>Tr</w:t>
            </w:r>
            <w:r>
              <w:rPr>
                <w:rFonts w:asciiTheme="minorHAnsi" w:hAnsiTheme="minorHAnsi"/>
                <w:sz w:val="20"/>
                <w:szCs w:val="20"/>
                <w:lang w:val="en-US"/>
              </w:rPr>
              <w:t>ansfer Services (DCT)</w:t>
            </w:r>
          </w:p>
        </w:tc>
        <w:tc>
          <w:tcPr>
            <w:tcW w:w="960" w:type="dxa"/>
            <w:tcBorders>
              <w:top w:val="nil"/>
            </w:tcBorders>
            <w:shd w:val="clear" w:color="auto" w:fill="auto"/>
            <w:tcMar>
              <w:left w:w="23" w:type="dxa"/>
            </w:tcMar>
            <w:vAlign w:val="center"/>
          </w:tcPr>
          <w:p w:rsidR="006904E2" w:rsidRDefault="006904E2">
            <w:pPr>
              <w:pStyle w:val="BodyText"/>
              <w:jc w:val="center"/>
            </w:pPr>
          </w:p>
        </w:tc>
        <w:tc>
          <w:tcPr>
            <w:tcW w:w="1921" w:type="dxa"/>
            <w:tcBorders>
              <w:top w:val="nil"/>
            </w:tcBorders>
            <w:shd w:val="clear" w:color="auto" w:fill="auto"/>
            <w:tcMar>
              <w:left w:w="23" w:type="dxa"/>
            </w:tcMar>
            <w:vAlign w:val="center"/>
          </w:tcPr>
          <w:p w:rsidR="006904E2" w:rsidRDefault="00010018">
            <w:pPr>
              <w:pStyle w:val="BodyText"/>
              <w:jc w:val="center"/>
            </w:pPr>
            <w:r>
              <w:rPr>
                <w:rFonts w:asciiTheme="minorHAnsi" w:hAnsiTheme="minorHAnsi"/>
                <w:sz w:val="20"/>
                <w:szCs w:val="20"/>
              </w:rPr>
              <w:t>IALA Guideline 1114, chapter 2</w:t>
            </w:r>
          </w:p>
        </w:tc>
        <w:tc>
          <w:tcPr>
            <w:tcW w:w="975" w:type="dxa"/>
            <w:tcBorders>
              <w:top w:val="nil"/>
            </w:tcBorders>
            <w:shd w:val="clear" w:color="auto" w:fill="auto"/>
            <w:tcMar>
              <w:left w:w="23" w:type="dxa"/>
            </w:tcMar>
            <w:vAlign w:val="center"/>
          </w:tcPr>
          <w:p w:rsidR="006904E2" w:rsidRDefault="006904E2">
            <w:pPr>
              <w:pStyle w:val="BodyText"/>
              <w:jc w:val="center"/>
              <w:rPr>
                <w:rFonts w:asciiTheme="minorHAnsi" w:hAnsiTheme="minorHAnsi"/>
                <w:sz w:val="20"/>
                <w:szCs w:val="20"/>
              </w:rPr>
            </w:pPr>
          </w:p>
        </w:tc>
        <w:tc>
          <w:tcPr>
            <w:tcW w:w="4365" w:type="dxa"/>
            <w:tcBorders>
              <w:top w:val="nil"/>
            </w:tcBorders>
            <w:shd w:val="clear" w:color="auto" w:fill="auto"/>
            <w:tcMar>
              <w:left w:w="23" w:type="dxa"/>
            </w:tcMar>
            <w:vAlign w:val="center"/>
          </w:tcPr>
          <w:p w:rsidR="006904E2" w:rsidRDefault="00010018">
            <w:pPr>
              <w:pStyle w:val="BodyText"/>
              <w:rPr>
                <w:rFonts w:asciiTheme="minorHAnsi" w:hAnsiTheme="minorHAnsi"/>
                <w:sz w:val="20"/>
                <w:szCs w:val="20"/>
                <w:lang w:val="en-US"/>
              </w:rPr>
            </w:pPr>
            <w:r>
              <w:rPr>
                <w:rFonts w:asciiTheme="minorHAnsi" w:hAnsiTheme="minorHAnsi"/>
                <w:sz w:val="20"/>
                <w:szCs w:val="20"/>
                <w:lang w:val="en-US"/>
              </w:rPr>
              <w:t xml:space="preserve">In the context of the Common Shore-based System Architecture (CSSA), the </w:t>
            </w:r>
            <w:r>
              <w:rPr>
                <w:rFonts w:asciiTheme="minorHAnsi" w:hAnsiTheme="minorHAnsi"/>
                <w:sz w:val="20"/>
                <w:szCs w:val="20"/>
                <w:u w:val="single"/>
                <w:lang w:val="en-US"/>
              </w:rPr>
              <w:t>D</w:t>
            </w:r>
            <w:r>
              <w:rPr>
                <w:rFonts w:asciiTheme="minorHAnsi" w:hAnsiTheme="minorHAnsi"/>
                <w:sz w:val="20"/>
                <w:szCs w:val="20"/>
                <w:lang w:val="en-US"/>
              </w:rPr>
              <w:t xml:space="preserve">ata </w:t>
            </w:r>
            <w:r>
              <w:rPr>
                <w:rFonts w:asciiTheme="minorHAnsi" w:hAnsiTheme="minorHAnsi"/>
                <w:sz w:val="20"/>
                <w:szCs w:val="20"/>
                <w:u w:val="single"/>
                <w:lang w:val="en-US"/>
              </w:rPr>
              <w:t>C</w:t>
            </w:r>
            <w:r>
              <w:rPr>
                <w:rFonts w:asciiTheme="minorHAnsi" w:hAnsiTheme="minorHAnsi"/>
                <w:sz w:val="20"/>
                <w:szCs w:val="20"/>
                <w:lang w:val="en-US"/>
              </w:rPr>
              <w:t xml:space="preserve">ollection and Data </w:t>
            </w:r>
            <w:r>
              <w:rPr>
                <w:rFonts w:asciiTheme="minorHAnsi" w:hAnsiTheme="minorHAnsi"/>
                <w:sz w:val="20"/>
                <w:szCs w:val="20"/>
                <w:u w:val="single"/>
                <w:lang w:val="en-US"/>
              </w:rPr>
              <w:t>Tr</w:t>
            </w:r>
            <w:r>
              <w:rPr>
                <w:rFonts w:asciiTheme="minorHAnsi" w:hAnsiTheme="minorHAnsi"/>
                <w:sz w:val="20"/>
                <w:szCs w:val="20"/>
                <w:lang w:val="en-US"/>
              </w:rPr>
              <w:t xml:space="preserve">ansfer Services (DCT) are a group of technical services </w:t>
            </w:r>
            <w:proofErr w:type="gramStart"/>
            <w:r>
              <w:rPr>
                <w:rFonts w:asciiTheme="minorHAnsi" w:hAnsiTheme="minorHAnsi"/>
                <w:sz w:val="20"/>
                <w:szCs w:val="20"/>
                <w:lang w:val="en-US"/>
              </w:rPr>
              <w:t>interfacing  the</w:t>
            </w:r>
            <w:proofErr w:type="gramEnd"/>
            <w:r>
              <w:rPr>
                <w:rFonts w:asciiTheme="minorHAnsi" w:hAnsiTheme="minorHAnsi"/>
                <w:sz w:val="20"/>
                <w:szCs w:val="20"/>
                <w:lang w:val="en-US"/>
              </w:rPr>
              <w:t xml:space="preserve"> shore-based system via the physical links to traffic objects’ electronic systems, to the waterways and to the natural environment.</w:t>
            </w:r>
          </w:p>
        </w:tc>
        <w:tc>
          <w:tcPr>
            <w:tcW w:w="1081" w:type="dxa"/>
            <w:tcBorders>
              <w:top w:val="nil"/>
            </w:tcBorders>
            <w:shd w:val="clear" w:color="auto" w:fill="auto"/>
            <w:tcMar>
              <w:left w:w="23" w:type="dxa"/>
            </w:tcMar>
            <w:vAlign w:val="center"/>
          </w:tcPr>
          <w:p w:rsidR="006904E2" w:rsidRDefault="006904E2">
            <w:pPr>
              <w:pStyle w:val="BodyText"/>
              <w:jc w:val="center"/>
              <w:rPr>
                <w:rFonts w:asciiTheme="minorHAnsi" w:hAnsiTheme="minorHAnsi"/>
                <w:sz w:val="20"/>
                <w:szCs w:val="20"/>
              </w:rPr>
            </w:pPr>
          </w:p>
        </w:tc>
        <w:tc>
          <w:tcPr>
            <w:tcW w:w="1125" w:type="dxa"/>
            <w:tcBorders>
              <w:top w:val="nil"/>
            </w:tcBorders>
            <w:shd w:val="clear" w:color="auto" w:fill="auto"/>
            <w:tcMar>
              <w:left w:w="23" w:type="dxa"/>
            </w:tcMar>
            <w:vAlign w:val="center"/>
          </w:tcPr>
          <w:p w:rsidR="006904E2" w:rsidRDefault="006904E2">
            <w:pPr>
              <w:pStyle w:val="BodyText"/>
              <w:jc w:val="center"/>
              <w:rPr>
                <w:rFonts w:asciiTheme="minorHAnsi" w:hAnsiTheme="minorHAnsi"/>
                <w:sz w:val="20"/>
                <w:szCs w:val="20"/>
              </w:rPr>
            </w:pPr>
          </w:p>
        </w:tc>
        <w:tc>
          <w:tcPr>
            <w:tcW w:w="997" w:type="dxa"/>
            <w:tcBorders>
              <w:top w:val="nil"/>
              <w:left w:val="nil"/>
              <w:right w:val="nil"/>
            </w:tcBorders>
            <w:shd w:val="clear" w:color="auto" w:fill="auto"/>
            <w:vAlign w:val="center"/>
          </w:tcPr>
          <w:p w:rsidR="006904E2" w:rsidRDefault="00010018">
            <w:pPr>
              <w:pStyle w:val="BodyText"/>
              <w:jc w:val="left"/>
              <w:rPr>
                <w:rFonts w:asciiTheme="minorHAnsi" w:hAnsiTheme="minorHAnsi"/>
                <w:sz w:val="20"/>
                <w:szCs w:val="20"/>
              </w:rPr>
            </w:pPr>
            <w:r>
              <w:rPr>
                <w:rFonts w:ascii="Calibri" w:hAnsi="Calibri"/>
                <w:sz w:val="20"/>
                <w:szCs w:val="20"/>
              </w:rPr>
              <w:t xml:space="preserve">New term </w:t>
            </w:r>
          </w:p>
        </w:tc>
        <w:tc>
          <w:tcPr>
            <w:tcW w:w="1072" w:type="dxa"/>
            <w:tcBorders>
              <w:top w:val="nil"/>
              <w:left w:val="nil"/>
              <w:right w:val="nil"/>
            </w:tcBorders>
            <w:shd w:val="clear" w:color="auto" w:fill="auto"/>
            <w:vAlign w:val="center"/>
          </w:tcPr>
          <w:p w:rsidR="006904E2" w:rsidRDefault="00010018">
            <w:pPr>
              <w:pStyle w:val="BodyText"/>
              <w:jc w:val="left"/>
              <w:rPr>
                <w:rFonts w:asciiTheme="minorHAnsi" w:hAnsiTheme="minorHAnsi"/>
                <w:sz w:val="20"/>
                <w:szCs w:val="20"/>
              </w:rPr>
            </w:pPr>
            <w:r>
              <w:rPr>
                <w:rFonts w:ascii="Calibri" w:hAnsi="Calibri"/>
                <w:sz w:val="20"/>
                <w:szCs w:val="20"/>
              </w:rPr>
              <w:t>May 2015</w:t>
            </w:r>
          </w:p>
        </w:tc>
        <w:tc>
          <w:tcPr>
            <w:tcW w:w="924" w:type="dxa"/>
            <w:tcBorders>
              <w:top w:val="nil"/>
            </w:tcBorders>
            <w:shd w:val="clear" w:color="auto" w:fill="auto"/>
            <w:tcMar>
              <w:left w:w="23" w:type="dxa"/>
            </w:tcMar>
            <w:vAlign w:val="center"/>
          </w:tcPr>
          <w:p w:rsidR="006904E2" w:rsidRDefault="00010018">
            <w:pPr>
              <w:pStyle w:val="BodyText"/>
              <w:rPr>
                <w:rFonts w:asciiTheme="minorHAnsi" w:hAnsiTheme="minorHAnsi"/>
                <w:sz w:val="20"/>
                <w:szCs w:val="20"/>
              </w:rPr>
            </w:pPr>
            <w:r>
              <w:rPr>
                <w:rFonts w:ascii="Calibri" w:hAnsi="Calibri"/>
                <w:sz w:val="20"/>
                <w:szCs w:val="20"/>
              </w:rPr>
              <w:t>IALA Council approved</w:t>
            </w:r>
          </w:p>
        </w:tc>
      </w:tr>
      <w:tr w:rsidR="006904E2">
        <w:tc>
          <w:tcPr>
            <w:tcW w:w="1364" w:type="dxa"/>
            <w:tcBorders>
              <w:top w:val="nil"/>
            </w:tcBorders>
            <w:shd w:val="clear" w:color="auto" w:fill="auto"/>
            <w:tcMar>
              <w:left w:w="23" w:type="dxa"/>
            </w:tcMar>
            <w:vAlign w:val="center"/>
          </w:tcPr>
          <w:p w:rsidR="006904E2" w:rsidRDefault="00010018">
            <w:pPr>
              <w:pStyle w:val="BodyText"/>
              <w:jc w:val="left"/>
            </w:pPr>
            <w:r>
              <w:rPr>
                <w:rFonts w:asciiTheme="minorHAnsi" w:hAnsiTheme="minorHAnsi"/>
                <w:sz w:val="20"/>
                <w:szCs w:val="20"/>
                <w:u w:val="single"/>
              </w:rPr>
              <w:t>V</w:t>
            </w:r>
            <w:r>
              <w:rPr>
                <w:rFonts w:asciiTheme="minorHAnsi" w:hAnsiTheme="minorHAnsi"/>
                <w:sz w:val="20"/>
                <w:szCs w:val="20"/>
              </w:rPr>
              <w:t xml:space="preserve">alue </w:t>
            </w:r>
            <w:r>
              <w:rPr>
                <w:rFonts w:asciiTheme="minorHAnsi" w:hAnsiTheme="minorHAnsi"/>
                <w:sz w:val="20"/>
                <w:szCs w:val="20"/>
                <w:u w:val="single"/>
              </w:rPr>
              <w:t>A</w:t>
            </w:r>
            <w:r>
              <w:rPr>
                <w:rFonts w:asciiTheme="minorHAnsi" w:hAnsiTheme="minorHAnsi"/>
                <w:sz w:val="20"/>
                <w:szCs w:val="20"/>
              </w:rPr>
              <w:t xml:space="preserve">dded </w:t>
            </w:r>
            <w:r>
              <w:rPr>
                <w:rFonts w:asciiTheme="minorHAnsi" w:hAnsiTheme="minorHAnsi"/>
                <w:sz w:val="20"/>
                <w:szCs w:val="20"/>
                <w:u w:val="single"/>
              </w:rPr>
              <w:t>D</w:t>
            </w:r>
            <w:r>
              <w:rPr>
                <w:rFonts w:asciiTheme="minorHAnsi" w:hAnsiTheme="minorHAnsi"/>
                <w:sz w:val="20"/>
                <w:szCs w:val="20"/>
              </w:rPr>
              <w:t>ata Processing Services (VAD)</w:t>
            </w:r>
          </w:p>
        </w:tc>
        <w:tc>
          <w:tcPr>
            <w:tcW w:w="960" w:type="dxa"/>
            <w:tcBorders>
              <w:top w:val="nil"/>
            </w:tcBorders>
            <w:shd w:val="clear" w:color="auto" w:fill="auto"/>
            <w:tcMar>
              <w:left w:w="23" w:type="dxa"/>
            </w:tcMar>
            <w:vAlign w:val="center"/>
          </w:tcPr>
          <w:p w:rsidR="006904E2" w:rsidRDefault="006904E2">
            <w:pPr>
              <w:pStyle w:val="BodyText"/>
              <w:jc w:val="left"/>
              <w:rPr>
                <w:rFonts w:asciiTheme="minorHAnsi" w:hAnsiTheme="minorHAnsi"/>
                <w:sz w:val="20"/>
                <w:szCs w:val="20"/>
              </w:rPr>
            </w:pPr>
          </w:p>
        </w:tc>
        <w:tc>
          <w:tcPr>
            <w:tcW w:w="1921" w:type="dxa"/>
            <w:tcBorders>
              <w:top w:val="nil"/>
            </w:tcBorders>
            <w:shd w:val="clear" w:color="auto" w:fill="auto"/>
            <w:tcMar>
              <w:left w:w="23" w:type="dxa"/>
            </w:tcMar>
            <w:vAlign w:val="center"/>
          </w:tcPr>
          <w:p w:rsidR="006904E2" w:rsidRDefault="00010018">
            <w:pPr>
              <w:pStyle w:val="BodyText"/>
              <w:jc w:val="center"/>
            </w:pPr>
            <w:r>
              <w:rPr>
                <w:rFonts w:asciiTheme="minorHAnsi" w:hAnsiTheme="minorHAnsi"/>
                <w:sz w:val="20"/>
                <w:szCs w:val="20"/>
              </w:rPr>
              <w:t>IALA Guideline 1114, chapter 2</w:t>
            </w:r>
          </w:p>
        </w:tc>
        <w:tc>
          <w:tcPr>
            <w:tcW w:w="975" w:type="dxa"/>
            <w:tcBorders>
              <w:top w:val="nil"/>
            </w:tcBorders>
            <w:shd w:val="clear" w:color="auto" w:fill="auto"/>
            <w:tcMar>
              <w:left w:w="23" w:type="dxa"/>
            </w:tcMar>
            <w:vAlign w:val="center"/>
          </w:tcPr>
          <w:p w:rsidR="006904E2" w:rsidRDefault="00010018">
            <w:pPr>
              <w:pStyle w:val="BodyText"/>
              <w:jc w:val="center"/>
            </w:pPr>
            <w:r>
              <w:rPr>
                <w:rFonts w:asciiTheme="minorHAnsi" w:hAnsiTheme="minorHAnsi"/>
                <w:sz w:val="20"/>
                <w:szCs w:val="20"/>
              </w:rPr>
              <w:t>-</w:t>
            </w:r>
          </w:p>
        </w:tc>
        <w:tc>
          <w:tcPr>
            <w:tcW w:w="4365" w:type="dxa"/>
            <w:tcBorders>
              <w:top w:val="nil"/>
            </w:tcBorders>
            <w:shd w:val="clear" w:color="auto" w:fill="auto"/>
            <w:tcMar>
              <w:left w:w="23" w:type="dxa"/>
            </w:tcMar>
            <w:vAlign w:val="center"/>
          </w:tcPr>
          <w:p w:rsidR="006904E2" w:rsidRDefault="00010018">
            <w:pPr>
              <w:pStyle w:val="BodyText"/>
              <w:spacing w:after="0"/>
            </w:pPr>
            <w:r>
              <w:rPr>
                <w:rFonts w:asciiTheme="minorHAnsi" w:hAnsiTheme="minorHAnsi"/>
                <w:sz w:val="20"/>
                <w:szCs w:val="20"/>
              </w:rPr>
              <w:t xml:space="preserve">In the context of the Common Shore-based System Architecture (CSSA), the </w:t>
            </w:r>
            <w:r>
              <w:rPr>
                <w:rFonts w:asciiTheme="minorHAnsi" w:hAnsiTheme="minorHAnsi"/>
                <w:sz w:val="20"/>
                <w:szCs w:val="20"/>
                <w:u w:val="single"/>
              </w:rPr>
              <w:t>V</w:t>
            </w:r>
            <w:r>
              <w:rPr>
                <w:rFonts w:asciiTheme="minorHAnsi" w:hAnsiTheme="minorHAnsi"/>
                <w:sz w:val="20"/>
                <w:szCs w:val="20"/>
              </w:rPr>
              <w:t xml:space="preserve">alue </w:t>
            </w:r>
            <w:r>
              <w:rPr>
                <w:rFonts w:asciiTheme="minorHAnsi" w:hAnsiTheme="minorHAnsi"/>
                <w:sz w:val="20"/>
                <w:szCs w:val="20"/>
                <w:u w:val="single"/>
              </w:rPr>
              <w:t>A</w:t>
            </w:r>
            <w:r>
              <w:rPr>
                <w:rFonts w:asciiTheme="minorHAnsi" w:hAnsiTheme="minorHAnsi"/>
                <w:sz w:val="20"/>
                <w:szCs w:val="20"/>
              </w:rPr>
              <w:t xml:space="preserve">dded </w:t>
            </w:r>
            <w:r>
              <w:rPr>
                <w:rFonts w:asciiTheme="minorHAnsi" w:hAnsiTheme="minorHAnsi"/>
                <w:sz w:val="20"/>
                <w:szCs w:val="20"/>
                <w:u w:val="single"/>
              </w:rPr>
              <w:t>D</w:t>
            </w:r>
            <w:r>
              <w:rPr>
                <w:rFonts w:asciiTheme="minorHAnsi" w:hAnsiTheme="minorHAnsi"/>
                <w:sz w:val="20"/>
                <w:szCs w:val="20"/>
              </w:rPr>
              <w:t>ata Processing Services (VAD) are a group of individual technical services. Their main task is to add value to (raw) data by processing, combination, comparison etc., store data and information and provide it upon request to other technical services.</w:t>
            </w:r>
          </w:p>
        </w:tc>
        <w:tc>
          <w:tcPr>
            <w:tcW w:w="1081" w:type="dxa"/>
            <w:tcBorders>
              <w:top w:val="nil"/>
            </w:tcBorders>
            <w:shd w:val="clear" w:color="auto" w:fill="auto"/>
            <w:tcMar>
              <w:left w:w="23" w:type="dxa"/>
            </w:tcMar>
            <w:vAlign w:val="center"/>
          </w:tcPr>
          <w:p w:rsidR="006904E2" w:rsidRDefault="006904E2">
            <w:pPr>
              <w:pStyle w:val="BodyText"/>
              <w:jc w:val="left"/>
              <w:rPr>
                <w:rFonts w:asciiTheme="minorHAnsi" w:hAnsiTheme="minorHAnsi"/>
                <w:sz w:val="20"/>
                <w:szCs w:val="20"/>
              </w:rPr>
            </w:pPr>
          </w:p>
        </w:tc>
        <w:tc>
          <w:tcPr>
            <w:tcW w:w="1125" w:type="dxa"/>
            <w:tcBorders>
              <w:top w:val="nil"/>
            </w:tcBorders>
            <w:shd w:val="clear" w:color="auto" w:fill="auto"/>
            <w:tcMar>
              <w:left w:w="23" w:type="dxa"/>
            </w:tcMar>
            <w:vAlign w:val="center"/>
          </w:tcPr>
          <w:p w:rsidR="006904E2" w:rsidRDefault="006904E2">
            <w:pPr>
              <w:pStyle w:val="BodyText"/>
              <w:jc w:val="left"/>
              <w:rPr>
                <w:rFonts w:asciiTheme="minorHAnsi" w:hAnsiTheme="minorHAnsi"/>
                <w:sz w:val="20"/>
                <w:szCs w:val="20"/>
              </w:rPr>
            </w:pPr>
          </w:p>
        </w:tc>
        <w:tc>
          <w:tcPr>
            <w:tcW w:w="997" w:type="dxa"/>
            <w:tcBorders>
              <w:top w:val="nil"/>
              <w:left w:val="nil"/>
              <w:right w:val="nil"/>
            </w:tcBorders>
            <w:shd w:val="clear" w:color="auto" w:fill="auto"/>
            <w:vAlign w:val="center"/>
          </w:tcPr>
          <w:p w:rsidR="006904E2" w:rsidRDefault="00010018">
            <w:pPr>
              <w:pStyle w:val="BodyText"/>
              <w:jc w:val="left"/>
            </w:pPr>
            <w:r>
              <w:rPr>
                <w:rFonts w:asciiTheme="minorHAnsi" w:hAnsiTheme="minorHAnsi"/>
                <w:sz w:val="20"/>
                <w:szCs w:val="20"/>
              </w:rPr>
              <w:t xml:space="preserve">New term </w:t>
            </w:r>
          </w:p>
        </w:tc>
        <w:tc>
          <w:tcPr>
            <w:tcW w:w="1072" w:type="dxa"/>
            <w:tcBorders>
              <w:top w:val="nil"/>
              <w:left w:val="nil"/>
              <w:right w:val="nil"/>
            </w:tcBorders>
            <w:shd w:val="clear" w:color="auto" w:fill="auto"/>
            <w:vAlign w:val="center"/>
          </w:tcPr>
          <w:p w:rsidR="006904E2" w:rsidRDefault="00010018">
            <w:pPr>
              <w:pStyle w:val="BodyText"/>
              <w:jc w:val="left"/>
            </w:pPr>
            <w:r>
              <w:rPr>
                <w:rFonts w:asciiTheme="minorHAnsi" w:hAnsiTheme="minorHAnsi"/>
                <w:sz w:val="20"/>
                <w:szCs w:val="20"/>
              </w:rPr>
              <w:t>May 2015</w:t>
            </w:r>
          </w:p>
        </w:tc>
        <w:tc>
          <w:tcPr>
            <w:tcW w:w="924" w:type="dxa"/>
            <w:tcBorders>
              <w:top w:val="nil"/>
            </w:tcBorders>
            <w:shd w:val="clear" w:color="auto" w:fill="auto"/>
            <w:tcMar>
              <w:left w:w="23" w:type="dxa"/>
            </w:tcMar>
            <w:vAlign w:val="center"/>
          </w:tcPr>
          <w:p w:rsidR="006904E2" w:rsidRDefault="00010018">
            <w:pPr>
              <w:pStyle w:val="BodyText"/>
              <w:rPr>
                <w:rFonts w:asciiTheme="minorHAnsi" w:hAnsiTheme="minorHAnsi"/>
                <w:sz w:val="20"/>
                <w:szCs w:val="20"/>
              </w:rPr>
            </w:pPr>
            <w:r>
              <w:rPr>
                <w:rFonts w:asciiTheme="minorHAnsi" w:hAnsiTheme="minorHAnsi"/>
                <w:sz w:val="20"/>
                <w:szCs w:val="20"/>
              </w:rPr>
              <w:t>IALA Council approved</w:t>
            </w:r>
          </w:p>
        </w:tc>
      </w:tr>
      <w:tr w:rsidR="006904E2">
        <w:tc>
          <w:tcPr>
            <w:tcW w:w="1364" w:type="dxa"/>
            <w:tcBorders>
              <w:top w:val="nil"/>
            </w:tcBorders>
            <w:shd w:val="clear" w:color="auto" w:fill="auto"/>
            <w:tcMar>
              <w:left w:w="23" w:type="dxa"/>
            </w:tcMar>
            <w:vAlign w:val="center"/>
          </w:tcPr>
          <w:p w:rsidR="006904E2" w:rsidRDefault="00010018">
            <w:pPr>
              <w:pStyle w:val="BodyText"/>
              <w:spacing w:after="0"/>
              <w:rPr>
                <w:rFonts w:asciiTheme="minorHAnsi" w:hAnsiTheme="minorHAnsi"/>
                <w:sz w:val="20"/>
                <w:szCs w:val="20"/>
                <w:lang w:val="en-US"/>
              </w:rPr>
            </w:pPr>
            <w:r>
              <w:rPr>
                <w:rFonts w:asciiTheme="minorHAnsi" w:hAnsiTheme="minorHAnsi"/>
                <w:sz w:val="20"/>
                <w:szCs w:val="20"/>
                <w:u w:val="single"/>
                <w:lang w:val="en-US"/>
              </w:rPr>
              <w:t>U</w:t>
            </w:r>
            <w:r>
              <w:rPr>
                <w:rFonts w:asciiTheme="minorHAnsi" w:hAnsiTheme="minorHAnsi"/>
                <w:sz w:val="20"/>
                <w:szCs w:val="20"/>
                <w:lang w:val="en-US"/>
              </w:rPr>
              <w:t xml:space="preserve">ser </w:t>
            </w:r>
            <w:r>
              <w:rPr>
                <w:rFonts w:asciiTheme="minorHAnsi" w:hAnsiTheme="minorHAnsi"/>
                <w:sz w:val="20"/>
                <w:szCs w:val="20"/>
                <w:u w:val="single"/>
                <w:lang w:val="en-US"/>
              </w:rPr>
              <w:t>I</w:t>
            </w:r>
            <w:r>
              <w:rPr>
                <w:rFonts w:asciiTheme="minorHAnsi" w:hAnsiTheme="minorHAnsi"/>
                <w:sz w:val="20"/>
                <w:szCs w:val="20"/>
                <w:lang w:val="en-US"/>
              </w:rPr>
              <w:t>nter</w:t>
            </w:r>
            <w:r>
              <w:rPr>
                <w:rFonts w:asciiTheme="minorHAnsi" w:hAnsiTheme="minorHAnsi"/>
                <w:sz w:val="20"/>
                <w:szCs w:val="20"/>
                <w:u w:val="single"/>
                <w:lang w:val="en-US"/>
              </w:rPr>
              <w:t>a</w:t>
            </w:r>
            <w:r>
              <w:rPr>
                <w:rFonts w:asciiTheme="minorHAnsi" w:hAnsiTheme="minorHAnsi"/>
                <w:sz w:val="20"/>
                <w:szCs w:val="20"/>
                <w:lang w:val="en-US"/>
              </w:rPr>
              <w:t>ction Service (UIA)</w:t>
            </w:r>
          </w:p>
        </w:tc>
        <w:tc>
          <w:tcPr>
            <w:tcW w:w="960" w:type="dxa"/>
            <w:tcBorders>
              <w:top w:val="nil"/>
            </w:tcBorders>
            <w:shd w:val="clear" w:color="auto" w:fill="auto"/>
            <w:tcMar>
              <w:left w:w="23" w:type="dxa"/>
            </w:tcMar>
            <w:vAlign w:val="center"/>
          </w:tcPr>
          <w:p w:rsidR="006904E2" w:rsidRDefault="006904E2">
            <w:pPr>
              <w:pStyle w:val="BodyText"/>
              <w:jc w:val="center"/>
            </w:pPr>
          </w:p>
        </w:tc>
        <w:tc>
          <w:tcPr>
            <w:tcW w:w="1921" w:type="dxa"/>
            <w:tcBorders>
              <w:top w:val="nil"/>
            </w:tcBorders>
            <w:shd w:val="clear" w:color="auto" w:fill="auto"/>
            <w:tcMar>
              <w:left w:w="23" w:type="dxa"/>
            </w:tcMar>
            <w:vAlign w:val="center"/>
          </w:tcPr>
          <w:p w:rsidR="006904E2" w:rsidRDefault="00010018">
            <w:pPr>
              <w:pStyle w:val="BodyText"/>
              <w:jc w:val="center"/>
            </w:pPr>
            <w:r>
              <w:rPr>
                <w:rFonts w:asciiTheme="minorHAnsi" w:hAnsiTheme="minorHAnsi"/>
                <w:sz w:val="20"/>
                <w:szCs w:val="20"/>
              </w:rPr>
              <w:t>IALA Guideline 1114, chapter 2</w:t>
            </w:r>
          </w:p>
        </w:tc>
        <w:tc>
          <w:tcPr>
            <w:tcW w:w="975" w:type="dxa"/>
            <w:tcBorders>
              <w:top w:val="nil"/>
            </w:tcBorders>
            <w:shd w:val="clear" w:color="auto" w:fill="auto"/>
            <w:tcMar>
              <w:left w:w="23" w:type="dxa"/>
            </w:tcMar>
            <w:vAlign w:val="center"/>
          </w:tcPr>
          <w:p w:rsidR="006904E2" w:rsidRDefault="006904E2">
            <w:pPr>
              <w:pStyle w:val="BodyText"/>
              <w:jc w:val="center"/>
              <w:rPr>
                <w:rFonts w:asciiTheme="minorHAnsi" w:hAnsiTheme="minorHAnsi"/>
                <w:sz w:val="20"/>
                <w:szCs w:val="20"/>
              </w:rPr>
            </w:pPr>
          </w:p>
        </w:tc>
        <w:tc>
          <w:tcPr>
            <w:tcW w:w="4365" w:type="dxa"/>
            <w:tcBorders>
              <w:top w:val="nil"/>
            </w:tcBorders>
            <w:shd w:val="clear" w:color="auto" w:fill="auto"/>
            <w:tcMar>
              <w:left w:w="23" w:type="dxa"/>
            </w:tcMar>
            <w:vAlign w:val="center"/>
          </w:tcPr>
          <w:p w:rsidR="006904E2" w:rsidRDefault="00010018">
            <w:pPr>
              <w:pStyle w:val="BodyText"/>
              <w:spacing w:after="0"/>
              <w:rPr>
                <w:rFonts w:asciiTheme="minorHAnsi" w:hAnsiTheme="minorHAnsi"/>
                <w:sz w:val="20"/>
                <w:szCs w:val="20"/>
                <w:lang w:val="en-US"/>
              </w:rPr>
            </w:pPr>
            <w:r>
              <w:rPr>
                <w:rFonts w:asciiTheme="minorHAnsi" w:hAnsiTheme="minorHAnsi"/>
                <w:sz w:val="20"/>
                <w:szCs w:val="20"/>
                <w:lang w:val="en-US"/>
              </w:rPr>
              <w:t xml:space="preserve">In the context of the Common Shore-based System Architecture (CSSA), the </w:t>
            </w:r>
            <w:r>
              <w:rPr>
                <w:rFonts w:asciiTheme="minorHAnsi" w:hAnsiTheme="minorHAnsi"/>
                <w:sz w:val="20"/>
                <w:szCs w:val="20"/>
                <w:u w:val="single"/>
                <w:lang w:val="en-US"/>
              </w:rPr>
              <w:t>U</w:t>
            </w:r>
            <w:r>
              <w:rPr>
                <w:rFonts w:asciiTheme="minorHAnsi" w:hAnsiTheme="minorHAnsi"/>
                <w:sz w:val="20"/>
                <w:szCs w:val="20"/>
                <w:lang w:val="en-US"/>
              </w:rPr>
              <w:t xml:space="preserve">ser </w:t>
            </w:r>
            <w:r>
              <w:rPr>
                <w:rFonts w:asciiTheme="minorHAnsi" w:hAnsiTheme="minorHAnsi"/>
                <w:sz w:val="20"/>
                <w:szCs w:val="20"/>
                <w:u w:val="single"/>
                <w:lang w:val="en-US"/>
              </w:rPr>
              <w:t>I</w:t>
            </w:r>
            <w:r>
              <w:rPr>
                <w:rFonts w:asciiTheme="minorHAnsi" w:hAnsiTheme="minorHAnsi"/>
                <w:sz w:val="20"/>
                <w:szCs w:val="20"/>
                <w:lang w:val="en-US"/>
              </w:rPr>
              <w:t>nter</w:t>
            </w:r>
            <w:r>
              <w:rPr>
                <w:rFonts w:asciiTheme="minorHAnsi" w:hAnsiTheme="minorHAnsi"/>
                <w:sz w:val="20"/>
                <w:szCs w:val="20"/>
                <w:u w:val="single"/>
                <w:lang w:val="en-US"/>
              </w:rPr>
              <w:t>a</w:t>
            </w:r>
            <w:r>
              <w:rPr>
                <w:rFonts w:asciiTheme="minorHAnsi" w:hAnsiTheme="minorHAnsi"/>
                <w:sz w:val="20"/>
                <w:szCs w:val="20"/>
                <w:lang w:val="en-US"/>
              </w:rPr>
              <w:t xml:space="preserve">ction Service (UIA) is </w:t>
            </w:r>
            <w:proofErr w:type="spellStart"/>
            <w:r>
              <w:rPr>
                <w:rFonts w:asciiTheme="minorHAnsi" w:hAnsiTheme="minorHAnsi"/>
                <w:sz w:val="20"/>
                <w:szCs w:val="20"/>
                <w:lang w:val="en-US"/>
              </w:rPr>
              <w:t>specialised</w:t>
            </w:r>
            <w:proofErr w:type="spellEnd"/>
            <w:r>
              <w:rPr>
                <w:rFonts w:asciiTheme="minorHAnsi" w:hAnsiTheme="minorHAnsi"/>
                <w:sz w:val="20"/>
                <w:szCs w:val="20"/>
                <w:lang w:val="en-US"/>
              </w:rPr>
              <w:t xml:space="preserve"> to provide the Human-Machine-Interface (HMI) to the primary users of the Common Shore-based System (CSS), i.e. such users as are supported directly by the system via dedicated displays, keyboards and other human interaction devices.</w:t>
            </w:r>
          </w:p>
        </w:tc>
        <w:tc>
          <w:tcPr>
            <w:tcW w:w="1081" w:type="dxa"/>
            <w:tcBorders>
              <w:top w:val="nil"/>
            </w:tcBorders>
            <w:shd w:val="clear" w:color="auto" w:fill="auto"/>
            <w:tcMar>
              <w:left w:w="23" w:type="dxa"/>
            </w:tcMar>
            <w:vAlign w:val="center"/>
          </w:tcPr>
          <w:p w:rsidR="006904E2" w:rsidRDefault="006904E2">
            <w:pPr>
              <w:pStyle w:val="BodyText"/>
              <w:jc w:val="center"/>
              <w:rPr>
                <w:rFonts w:asciiTheme="minorHAnsi" w:hAnsiTheme="minorHAnsi"/>
                <w:sz w:val="20"/>
                <w:szCs w:val="20"/>
              </w:rPr>
            </w:pPr>
          </w:p>
        </w:tc>
        <w:tc>
          <w:tcPr>
            <w:tcW w:w="1125" w:type="dxa"/>
            <w:tcBorders>
              <w:top w:val="nil"/>
            </w:tcBorders>
            <w:shd w:val="clear" w:color="auto" w:fill="auto"/>
            <w:tcMar>
              <w:left w:w="23" w:type="dxa"/>
            </w:tcMar>
            <w:vAlign w:val="center"/>
          </w:tcPr>
          <w:p w:rsidR="006904E2" w:rsidRDefault="006904E2">
            <w:pPr>
              <w:pStyle w:val="BodyText"/>
              <w:jc w:val="center"/>
              <w:rPr>
                <w:rFonts w:asciiTheme="minorHAnsi" w:hAnsiTheme="minorHAnsi"/>
                <w:sz w:val="20"/>
                <w:szCs w:val="20"/>
              </w:rPr>
            </w:pPr>
          </w:p>
        </w:tc>
        <w:tc>
          <w:tcPr>
            <w:tcW w:w="997" w:type="dxa"/>
            <w:tcBorders>
              <w:top w:val="nil"/>
              <w:left w:val="nil"/>
              <w:right w:val="nil"/>
            </w:tcBorders>
            <w:shd w:val="clear" w:color="auto" w:fill="auto"/>
            <w:vAlign w:val="center"/>
          </w:tcPr>
          <w:p w:rsidR="006904E2" w:rsidRDefault="00010018">
            <w:pPr>
              <w:pStyle w:val="BodyText"/>
              <w:jc w:val="left"/>
            </w:pPr>
            <w:r>
              <w:rPr>
                <w:rFonts w:asciiTheme="minorHAnsi" w:hAnsiTheme="minorHAnsi"/>
                <w:sz w:val="20"/>
                <w:szCs w:val="20"/>
              </w:rPr>
              <w:t xml:space="preserve">New term </w:t>
            </w:r>
          </w:p>
        </w:tc>
        <w:tc>
          <w:tcPr>
            <w:tcW w:w="1072" w:type="dxa"/>
            <w:tcBorders>
              <w:top w:val="nil"/>
              <w:left w:val="nil"/>
              <w:right w:val="nil"/>
            </w:tcBorders>
            <w:shd w:val="clear" w:color="auto" w:fill="auto"/>
            <w:vAlign w:val="center"/>
          </w:tcPr>
          <w:p w:rsidR="006904E2" w:rsidRDefault="00010018">
            <w:pPr>
              <w:pStyle w:val="BodyText"/>
              <w:jc w:val="left"/>
            </w:pPr>
            <w:r>
              <w:rPr>
                <w:rFonts w:asciiTheme="minorHAnsi" w:hAnsiTheme="minorHAnsi"/>
                <w:sz w:val="20"/>
                <w:szCs w:val="20"/>
              </w:rPr>
              <w:t>May 2015</w:t>
            </w:r>
          </w:p>
        </w:tc>
        <w:tc>
          <w:tcPr>
            <w:tcW w:w="924" w:type="dxa"/>
            <w:tcBorders>
              <w:top w:val="nil"/>
            </w:tcBorders>
            <w:shd w:val="clear" w:color="auto" w:fill="auto"/>
            <w:tcMar>
              <w:left w:w="23" w:type="dxa"/>
            </w:tcMar>
            <w:vAlign w:val="center"/>
          </w:tcPr>
          <w:p w:rsidR="006904E2" w:rsidRDefault="00010018">
            <w:pPr>
              <w:pStyle w:val="BodyText"/>
              <w:rPr>
                <w:rFonts w:asciiTheme="minorHAnsi" w:hAnsiTheme="minorHAnsi"/>
                <w:sz w:val="20"/>
                <w:szCs w:val="20"/>
              </w:rPr>
            </w:pPr>
            <w:r>
              <w:rPr>
                <w:rFonts w:asciiTheme="minorHAnsi" w:hAnsiTheme="minorHAnsi"/>
                <w:sz w:val="20"/>
                <w:szCs w:val="20"/>
              </w:rPr>
              <w:t>IALA Council approved</w:t>
            </w:r>
          </w:p>
        </w:tc>
      </w:tr>
      <w:tr w:rsidR="006904E2">
        <w:tc>
          <w:tcPr>
            <w:tcW w:w="1364" w:type="dxa"/>
            <w:tcBorders>
              <w:top w:val="nil"/>
            </w:tcBorders>
            <w:shd w:val="clear" w:color="auto" w:fill="auto"/>
            <w:tcMar>
              <w:left w:w="23" w:type="dxa"/>
            </w:tcMar>
            <w:vAlign w:val="center"/>
          </w:tcPr>
          <w:p w:rsidR="006904E2" w:rsidRDefault="00010018">
            <w:pPr>
              <w:pStyle w:val="BodyText"/>
              <w:spacing w:after="0"/>
              <w:rPr>
                <w:rFonts w:asciiTheme="minorHAnsi" w:hAnsiTheme="minorHAnsi"/>
                <w:sz w:val="20"/>
                <w:szCs w:val="20"/>
                <w:lang w:val="en-US"/>
              </w:rPr>
            </w:pPr>
            <w:r>
              <w:rPr>
                <w:rFonts w:asciiTheme="minorHAnsi" w:hAnsiTheme="minorHAnsi"/>
                <w:sz w:val="20"/>
                <w:szCs w:val="20"/>
                <w:u w:val="single"/>
                <w:lang w:val="en-US"/>
              </w:rPr>
              <w:t>G</w:t>
            </w:r>
            <w:r>
              <w:rPr>
                <w:rFonts w:asciiTheme="minorHAnsi" w:hAnsiTheme="minorHAnsi"/>
                <w:sz w:val="20"/>
                <w:szCs w:val="20"/>
                <w:lang w:val="en-US"/>
              </w:rPr>
              <w:t>ate</w:t>
            </w:r>
            <w:r>
              <w:rPr>
                <w:rFonts w:asciiTheme="minorHAnsi" w:hAnsiTheme="minorHAnsi"/>
                <w:sz w:val="20"/>
                <w:szCs w:val="20"/>
                <w:u w:val="single"/>
                <w:lang w:val="en-US"/>
              </w:rPr>
              <w:t>w</w:t>
            </w:r>
            <w:r>
              <w:rPr>
                <w:rFonts w:asciiTheme="minorHAnsi" w:hAnsiTheme="minorHAnsi"/>
                <w:sz w:val="20"/>
                <w:szCs w:val="20"/>
                <w:lang w:val="en-US"/>
              </w:rPr>
              <w:t>a</w:t>
            </w:r>
            <w:r>
              <w:rPr>
                <w:rFonts w:asciiTheme="minorHAnsi" w:hAnsiTheme="minorHAnsi"/>
                <w:sz w:val="20"/>
                <w:szCs w:val="20"/>
                <w:u w:val="single"/>
                <w:lang w:val="en-US"/>
              </w:rPr>
              <w:t>y</w:t>
            </w:r>
            <w:r>
              <w:rPr>
                <w:rFonts w:asciiTheme="minorHAnsi" w:hAnsiTheme="minorHAnsi"/>
                <w:sz w:val="20"/>
                <w:szCs w:val="20"/>
                <w:lang w:val="en-US"/>
              </w:rPr>
              <w:t xml:space="preserve"> Service (GWY)</w:t>
            </w:r>
          </w:p>
        </w:tc>
        <w:tc>
          <w:tcPr>
            <w:tcW w:w="960" w:type="dxa"/>
            <w:tcBorders>
              <w:top w:val="nil"/>
            </w:tcBorders>
            <w:shd w:val="clear" w:color="auto" w:fill="auto"/>
            <w:tcMar>
              <w:left w:w="23" w:type="dxa"/>
            </w:tcMar>
            <w:vAlign w:val="center"/>
          </w:tcPr>
          <w:p w:rsidR="006904E2" w:rsidRDefault="006904E2">
            <w:pPr>
              <w:pStyle w:val="BodyText"/>
              <w:jc w:val="center"/>
            </w:pPr>
          </w:p>
        </w:tc>
        <w:tc>
          <w:tcPr>
            <w:tcW w:w="1921" w:type="dxa"/>
            <w:tcBorders>
              <w:top w:val="nil"/>
            </w:tcBorders>
            <w:shd w:val="clear" w:color="auto" w:fill="auto"/>
            <w:tcMar>
              <w:left w:w="23" w:type="dxa"/>
            </w:tcMar>
            <w:vAlign w:val="center"/>
          </w:tcPr>
          <w:p w:rsidR="006904E2" w:rsidRDefault="00010018">
            <w:pPr>
              <w:pStyle w:val="BodyText"/>
              <w:jc w:val="center"/>
            </w:pPr>
            <w:r>
              <w:rPr>
                <w:rFonts w:asciiTheme="minorHAnsi" w:hAnsiTheme="minorHAnsi"/>
                <w:sz w:val="20"/>
                <w:szCs w:val="20"/>
              </w:rPr>
              <w:t>IALA Guideline 1114, chapter 2</w:t>
            </w:r>
          </w:p>
        </w:tc>
        <w:tc>
          <w:tcPr>
            <w:tcW w:w="975" w:type="dxa"/>
            <w:tcBorders>
              <w:top w:val="nil"/>
            </w:tcBorders>
            <w:shd w:val="clear" w:color="auto" w:fill="auto"/>
            <w:tcMar>
              <w:left w:w="23" w:type="dxa"/>
            </w:tcMar>
            <w:vAlign w:val="center"/>
          </w:tcPr>
          <w:p w:rsidR="006904E2" w:rsidRDefault="006904E2">
            <w:pPr>
              <w:pStyle w:val="BodyText"/>
              <w:jc w:val="center"/>
              <w:rPr>
                <w:rFonts w:asciiTheme="minorHAnsi" w:hAnsiTheme="minorHAnsi"/>
                <w:sz w:val="20"/>
                <w:szCs w:val="20"/>
              </w:rPr>
            </w:pPr>
          </w:p>
        </w:tc>
        <w:tc>
          <w:tcPr>
            <w:tcW w:w="4365" w:type="dxa"/>
            <w:tcBorders>
              <w:top w:val="nil"/>
            </w:tcBorders>
            <w:shd w:val="clear" w:color="auto" w:fill="auto"/>
            <w:tcMar>
              <w:left w:w="23" w:type="dxa"/>
            </w:tcMar>
            <w:vAlign w:val="center"/>
          </w:tcPr>
          <w:p w:rsidR="006904E2" w:rsidRDefault="00010018" w:rsidP="001752CE">
            <w:pPr>
              <w:pStyle w:val="BodyText"/>
              <w:spacing w:after="0"/>
              <w:rPr>
                <w:rFonts w:asciiTheme="minorHAnsi" w:hAnsiTheme="minorHAnsi"/>
                <w:sz w:val="20"/>
                <w:szCs w:val="20"/>
                <w:lang w:val="en-US"/>
              </w:rPr>
            </w:pPr>
            <w:r>
              <w:rPr>
                <w:rFonts w:asciiTheme="minorHAnsi" w:hAnsiTheme="minorHAnsi"/>
                <w:sz w:val="20"/>
                <w:szCs w:val="20"/>
                <w:lang w:val="en-US"/>
              </w:rPr>
              <w:t xml:space="preserve">In the context of the Common Shore-based System Architecture (CSSA), the </w:t>
            </w:r>
            <w:r>
              <w:rPr>
                <w:rFonts w:asciiTheme="minorHAnsi" w:hAnsiTheme="minorHAnsi"/>
                <w:sz w:val="20"/>
                <w:szCs w:val="20"/>
                <w:u w:val="single"/>
                <w:lang w:val="en-US"/>
              </w:rPr>
              <w:t>G</w:t>
            </w:r>
            <w:r>
              <w:rPr>
                <w:rFonts w:asciiTheme="minorHAnsi" w:hAnsiTheme="minorHAnsi"/>
                <w:sz w:val="20"/>
                <w:szCs w:val="20"/>
                <w:lang w:val="en-US"/>
              </w:rPr>
              <w:t>ate</w:t>
            </w:r>
            <w:r>
              <w:rPr>
                <w:rFonts w:asciiTheme="minorHAnsi" w:hAnsiTheme="minorHAnsi"/>
                <w:sz w:val="20"/>
                <w:szCs w:val="20"/>
                <w:u w:val="single"/>
                <w:lang w:val="en-US"/>
              </w:rPr>
              <w:t>w</w:t>
            </w:r>
            <w:r>
              <w:rPr>
                <w:rFonts w:asciiTheme="minorHAnsi" w:hAnsiTheme="minorHAnsi"/>
                <w:sz w:val="20"/>
                <w:szCs w:val="20"/>
                <w:lang w:val="en-US"/>
              </w:rPr>
              <w:t>a</w:t>
            </w:r>
            <w:r>
              <w:rPr>
                <w:rFonts w:asciiTheme="minorHAnsi" w:hAnsiTheme="minorHAnsi"/>
                <w:sz w:val="20"/>
                <w:szCs w:val="20"/>
                <w:u w:val="single"/>
                <w:lang w:val="en-US"/>
              </w:rPr>
              <w:t>y</w:t>
            </w:r>
            <w:r>
              <w:rPr>
                <w:rFonts w:asciiTheme="minorHAnsi" w:hAnsiTheme="minorHAnsi"/>
                <w:sz w:val="20"/>
                <w:szCs w:val="20"/>
                <w:lang w:val="en-US"/>
              </w:rPr>
              <w:t xml:space="preserve"> Service (GWY) </w:t>
            </w:r>
            <w:proofErr w:type="spellStart"/>
            <w:r>
              <w:rPr>
                <w:rFonts w:asciiTheme="minorHAnsi" w:hAnsiTheme="minorHAnsi"/>
                <w:sz w:val="20"/>
                <w:szCs w:val="20"/>
                <w:lang w:val="en-US"/>
              </w:rPr>
              <w:t>specialises</w:t>
            </w:r>
            <w:proofErr w:type="spellEnd"/>
            <w:r>
              <w:rPr>
                <w:rFonts w:asciiTheme="minorHAnsi" w:hAnsiTheme="minorHAnsi"/>
                <w:sz w:val="20"/>
                <w:szCs w:val="20"/>
                <w:lang w:val="en-US"/>
              </w:rPr>
              <w:t xml:space="preserve"> in data exchange shore-to-shore. It interfaces mainly to external systems of third parties, which provide data upon request by own system and/or receive</w:t>
            </w:r>
            <w:r w:rsidR="001752CE">
              <w:rPr>
                <w:rFonts w:asciiTheme="minorHAnsi" w:hAnsiTheme="minorHAnsi"/>
                <w:sz w:val="20"/>
                <w:szCs w:val="20"/>
                <w:lang w:val="en-US"/>
              </w:rPr>
              <w:t xml:space="preserve"> access </w:t>
            </w:r>
            <w:proofErr w:type="gramStart"/>
            <w:r>
              <w:rPr>
                <w:rFonts w:asciiTheme="minorHAnsi" w:hAnsiTheme="minorHAnsi"/>
                <w:sz w:val="20"/>
                <w:szCs w:val="20"/>
                <w:lang w:val="en-US"/>
              </w:rPr>
              <w:t>to  relevant</w:t>
            </w:r>
            <w:proofErr w:type="gramEnd"/>
            <w:r>
              <w:rPr>
                <w:rFonts w:asciiTheme="minorHAnsi" w:hAnsiTheme="minorHAnsi"/>
                <w:sz w:val="20"/>
                <w:szCs w:val="20"/>
                <w:lang w:val="en-US"/>
              </w:rPr>
              <w:t xml:space="preserve"> </w:t>
            </w:r>
            <w:r w:rsidR="001752CE">
              <w:rPr>
                <w:rFonts w:asciiTheme="minorHAnsi" w:hAnsiTheme="minorHAnsi"/>
                <w:sz w:val="20"/>
                <w:szCs w:val="20"/>
                <w:lang w:val="en-US"/>
              </w:rPr>
              <w:t xml:space="preserve"> data  from  own  system, upon</w:t>
            </w:r>
            <w:r>
              <w:rPr>
                <w:rFonts w:asciiTheme="minorHAnsi" w:hAnsiTheme="minorHAnsi"/>
                <w:sz w:val="20"/>
                <w:szCs w:val="20"/>
                <w:lang w:val="en-US"/>
              </w:rPr>
              <w:t xml:space="preserve"> legitimate req</w:t>
            </w:r>
            <w:r w:rsidR="001752CE">
              <w:rPr>
                <w:rFonts w:asciiTheme="minorHAnsi" w:hAnsiTheme="minorHAnsi"/>
                <w:sz w:val="20"/>
                <w:szCs w:val="20"/>
                <w:lang w:val="en-US"/>
              </w:rPr>
              <w:t>uest.  The Gateway Service can also</w:t>
            </w:r>
            <w:r>
              <w:rPr>
                <w:rFonts w:asciiTheme="minorHAnsi" w:hAnsiTheme="minorHAnsi"/>
                <w:sz w:val="20"/>
                <w:szCs w:val="20"/>
                <w:lang w:val="en-US"/>
              </w:rPr>
              <w:t xml:space="preserve"> </w:t>
            </w:r>
            <w:proofErr w:type="gramStart"/>
            <w:r>
              <w:rPr>
                <w:rFonts w:asciiTheme="minorHAnsi" w:hAnsiTheme="minorHAnsi"/>
                <w:sz w:val="20"/>
                <w:szCs w:val="20"/>
                <w:lang w:val="en-US"/>
              </w:rPr>
              <w:t>interface  different</w:t>
            </w:r>
            <w:proofErr w:type="gramEnd"/>
            <w:r>
              <w:rPr>
                <w:rFonts w:asciiTheme="minorHAnsi" w:hAnsiTheme="minorHAnsi"/>
                <w:sz w:val="20"/>
                <w:szCs w:val="20"/>
                <w:lang w:val="en-US"/>
              </w:rPr>
              <w:t xml:space="preserve">  shore-based  systems  locally,  regionally, and globally. </w:t>
            </w:r>
          </w:p>
        </w:tc>
        <w:tc>
          <w:tcPr>
            <w:tcW w:w="1081" w:type="dxa"/>
            <w:tcBorders>
              <w:top w:val="nil"/>
            </w:tcBorders>
            <w:shd w:val="clear" w:color="auto" w:fill="auto"/>
            <w:tcMar>
              <w:left w:w="23" w:type="dxa"/>
            </w:tcMar>
            <w:vAlign w:val="center"/>
          </w:tcPr>
          <w:p w:rsidR="006904E2" w:rsidRDefault="006904E2">
            <w:pPr>
              <w:pStyle w:val="BodyText"/>
              <w:jc w:val="center"/>
              <w:rPr>
                <w:rFonts w:asciiTheme="minorHAnsi" w:hAnsiTheme="minorHAnsi"/>
                <w:sz w:val="20"/>
                <w:szCs w:val="20"/>
              </w:rPr>
            </w:pPr>
          </w:p>
        </w:tc>
        <w:tc>
          <w:tcPr>
            <w:tcW w:w="1125" w:type="dxa"/>
            <w:tcBorders>
              <w:top w:val="nil"/>
            </w:tcBorders>
            <w:shd w:val="clear" w:color="auto" w:fill="auto"/>
            <w:tcMar>
              <w:left w:w="23" w:type="dxa"/>
            </w:tcMar>
            <w:vAlign w:val="center"/>
          </w:tcPr>
          <w:p w:rsidR="006904E2" w:rsidRDefault="006904E2">
            <w:pPr>
              <w:pStyle w:val="BodyText"/>
              <w:jc w:val="center"/>
              <w:rPr>
                <w:rFonts w:asciiTheme="minorHAnsi" w:hAnsiTheme="minorHAnsi"/>
                <w:sz w:val="20"/>
                <w:szCs w:val="20"/>
              </w:rPr>
            </w:pPr>
          </w:p>
        </w:tc>
        <w:tc>
          <w:tcPr>
            <w:tcW w:w="997" w:type="dxa"/>
            <w:tcBorders>
              <w:top w:val="nil"/>
              <w:left w:val="nil"/>
              <w:right w:val="nil"/>
            </w:tcBorders>
            <w:shd w:val="clear" w:color="auto" w:fill="auto"/>
            <w:vAlign w:val="center"/>
          </w:tcPr>
          <w:p w:rsidR="006904E2" w:rsidRDefault="00010018">
            <w:pPr>
              <w:pStyle w:val="BodyText"/>
              <w:jc w:val="left"/>
            </w:pPr>
            <w:r>
              <w:rPr>
                <w:rFonts w:asciiTheme="minorHAnsi" w:hAnsiTheme="minorHAnsi"/>
                <w:sz w:val="20"/>
                <w:szCs w:val="20"/>
              </w:rPr>
              <w:t xml:space="preserve">New term </w:t>
            </w:r>
          </w:p>
        </w:tc>
        <w:tc>
          <w:tcPr>
            <w:tcW w:w="1072" w:type="dxa"/>
            <w:tcBorders>
              <w:top w:val="nil"/>
              <w:left w:val="nil"/>
              <w:right w:val="nil"/>
            </w:tcBorders>
            <w:shd w:val="clear" w:color="auto" w:fill="auto"/>
            <w:vAlign w:val="center"/>
          </w:tcPr>
          <w:p w:rsidR="006904E2" w:rsidRDefault="00010018">
            <w:pPr>
              <w:pStyle w:val="BodyText"/>
              <w:jc w:val="left"/>
            </w:pPr>
            <w:r>
              <w:rPr>
                <w:rFonts w:asciiTheme="minorHAnsi" w:hAnsiTheme="minorHAnsi"/>
                <w:sz w:val="20"/>
                <w:szCs w:val="20"/>
              </w:rPr>
              <w:t>May 2015</w:t>
            </w:r>
          </w:p>
        </w:tc>
        <w:tc>
          <w:tcPr>
            <w:tcW w:w="924" w:type="dxa"/>
            <w:tcBorders>
              <w:top w:val="nil"/>
            </w:tcBorders>
            <w:shd w:val="clear" w:color="auto" w:fill="auto"/>
            <w:tcMar>
              <w:left w:w="23" w:type="dxa"/>
            </w:tcMar>
            <w:vAlign w:val="center"/>
          </w:tcPr>
          <w:p w:rsidR="006904E2" w:rsidRDefault="00010018">
            <w:pPr>
              <w:pStyle w:val="BodyText"/>
              <w:rPr>
                <w:rFonts w:asciiTheme="minorHAnsi" w:hAnsiTheme="minorHAnsi"/>
                <w:sz w:val="20"/>
                <w:szCs w:val="20"/>
              </w:rPr>
            </w:pPr>
            <w:r>
              <w:rPr>
                <w:rFonts w:asciiTheme="minorHAnsi" w:hAnsiTheme="minorHAnsi"/>
                <w:sz w:val="20"/>
                <w:szCs w:val="20"/>
              </w:rPr>
              <w:t>IALA Council approved</w:t>
            </w:r>
          </w:p>
        </w:tc>
      </w:tr>
      <w:tr w:rsidR="006904E2">
        <w:tc>
          <w:tcPr>
            <w:tcW w:w="1364" w:type="dxa"/>
            <w:tcBorders>
              <w:top w:val="nil"/>
            </w:tcBorders>
            <w:shd w:val="clear" w:color="auto" w:fill="auto"/>
            <w:tcMar>
              <w:left w:w="23" w:type="dxa"/>
            </w:tcMar>
            <w:vAlign w:val="center"/>
          </w:tcPr>
          <w:p w:rsidR="006904E2" w:rsidRDefault="00010018">
            <w:pPr>
              <w:pStyle w:val="BodyText"/>
              <w:spacing w:after="0"/>
              <w:jc w:val="left"/>
              <w:rPr>
                <w:rFonts w:asciiTheme="minorHAnsi" w:hAnsiTheme="minorHAnsi"/>
                <w:sz w:val="20"/>
                <w:szCs w:val="20"/>
                <w:lang w:val="en-US"/>
              </w:rPr>
            </w:pPr>
            <w:r>
              <w:rPr>
                <w:rFonts w:asciiTheme="minorHAnsi" w:hAnsiTheme="minorHAnsi"/>
                <w:sz w:val="20"/>
                <w:szCs w:val="20"/>
                <w:u w:val="single"/>
                <w:lang w:val="en-US"/>
              </w:rPr>
              <w:lastRenderedPageBreak/>
              <w:t>AIS</w:t>
            </w:r>
            <w:r>
              <w:rPr>
                <w:rFonts w:asciiTheme="minorHAnsi" w:hAnsiTheme="minorHAnsi"/>
                <w:sz w:val="20"/>
                <w:szCs w:val="20"/>
                <w:lang w:val="en-US"/>
              </w:rPr>
              <w:t xml:space="preserve"> Service (AIS)</w:t>
            </w:r>
          </w:p>
        </w:tc>
        <w:tc>
          <w:tcPr>
            <w:tcW w:w="960" w:type="dxa"/>
            <w:tcBorders>
              <w:top w:val="nil"/>
            </w:tcBorders>
            <w:shd w:val="clear" w:color="auto" w:fill="auto"/>
            <w:tcMar>
              <w:left w:w="23" w:type="dxa"/>
            </w:tcMar>
            <w:vAlign w:val="center"/>
          </w:tcPr>
          <w:p w:rsidR="006904E2" w:rsidRDefault="006904E2">
            <w:pPr>
              <w:pStyle w:val="BodyText"/>
              <w:jc w:val="center"/>
            </w:pPr>
          </w:p>
        </w:tc>
        <w:tc>
          <w:tcPr>
            <w:tcW w:w="1921" w:type="dxa"/>
            <w:tcBorders>
              <w:top w:val="nil"/>
            </w:tcBorders>
            <w:shd w:val="clear" w:color="auto" w:fill="auto"/>
            <w:tcMar>
              <w:left w:w="23" w:type="dxa"/>
            </w:tcMar>
            <w:vAlign w:val="center"/>
          </w:tcPr>
          <w:p w:rsidR="006904E2" w:rsidRDefault="00010018">
            <w:pPr>
              <w:pStyle w:val="BodyText"/>
              <w:jc w:val="center"/>
            </w:pPr>
            <w:r>
              <w:rPr>
                <w:rFonts w:asciiTheme="minorHAnsi" w:hAnsiTheme="minorHAnsi"/>
                <w:sz w:val="20"/>
                <w:szCs w:val="20"/>
              </w:rPr>
              <w:t>IALA Guideline 1114, chapter 3</w:t>
            </w:r>
          </w:p>
        </w:tc>
        <w:tc>
          <w:tcPr>
            <w:tcW w:w="975" w:type="dxa"/>
            <w:tcBorders>
              <w:top w:val="nil"/>
            </w:tcBorders>
            <w:shd w:val="clear" w:color="auto" w:fill="auto"/>
            <w:tcMar>
              <w:left w:w="23" w:type="dxa"/>
            </w:tcMar>
            <w:vAlign w:val="center"/>
          </w:tcPr>
          <w:p w:rsidR="006904E2" w:rsidRDefault="006904E2">
            <w:pPr>
              <w:pStyle w:val="BodyText"/>
              <w:jc w:val="center"/>
              <w:rPr>
                <w:rFonts w:asciiTheme="minorHAnsi" w:hAnsiTheme="minorHAnsi"/>
                <w:sz w:val="20"/>
                <w:szCs w:val="20"/>
              </w:rPr>
            </w:pPr>
          </w:p>
        </w:tc>
        <w:tc>
          <w:tcPr>
            <w:tcW w:w="4365" w:type="dxa"/>
            <w:tcBorders>
              <w:top w:val="nil"/>
            </w:tcBorders>
            <w:shd w:val="clear" w:color="auto" w:fill="auto"/>
            <w:tcMar>
              <w:left w:w="23" w:type="dxa"/>
            </w:tcMar>
            <w:vAlign w:val="center"/>
          </w:tcPr>
          <w:p w:rsidR="006904E2" w:rsidRDefault="00010018">
            <w:pPr>
              <w:pStyle w:val="BodyText"/>
              <w:spacing w:after="0"/>
              <w:rPr>
                <w:rFonts w:asciiTheme="minorHAnsi" w:hAnsiTheme="minorHAnsi"/>
                <w:sz w:val="20"/>
                <w:szCs w:val="20"/>
                <w:lang w:val="en-US"/>
              </w:rPr>
            </w:pPr>
            <w:r>
              <w:rPr>
                <w:rFonts w:asciiTheme="minorHAnsi" w:hAnsiTheme="minorHAnsi"/>
                <w:sz w:val="20"/>
                <w:szCs w:val="20"/>
                <w:lang w:val="en-US"/>
              </w:rPr>
              <w:t>In the context of the Common Shore-based System Architecture (CSSA), the AIS Service (AIS) is the shore-based infrastructure of a shore-based authority, which allows reception of messages of the Automatic Identification System (AIS) from traffic objects and transmission of messages to them. In addition, certain features of the AIS Service allow the Common Shore-ba</w:t>
            </w:r>
            <w:r w:rsidR="001752CE">
              <w:rPr>
                <w:rFonts w:asciiTheme="minorHAnsi" w:hAnsiTheme="minorHAnsi"/>
                <w:sz w:val="20"/>
                <w:szCs w:val="20"/>
                <w:lang w:val="en-US"/>
              </w:rPr>
              <w:t>sed System (CSS) of a competent authority</w:t>
            </w:r>
            <w:r>
              <w:rPr>
                <w:rFonts w:asciiTheme="minorHAnsi" w:hAnsiTheme="minorHAnsi"/>
                <w:sz w:val="20"/>
                <w:szCs w:val="20"/>
                <w:lang w:val="en-US"/>
              </w:rPr>
              <w:t xml:space="preserve"> </w:t>
            </w:r>
            <w:proofErr w:type="gramStart"/>
            <w:r>
              <w:rPr>
                <w:rFonts w:asciiTheme="minorHAnsi" w:hAnsiTheme="minorHAnsi"/>
                <w:sz w:val="20"/>
                <w:szCs w:val="20"/>
                <w:lang w:val="en-US"/>
              </w:rPr>
              <w:t>to  perform</w:t>
            </w:r>
            <w:proofErr w:type="gramEnd"/>
            <w:r>
              <w:rPr>
                <w:rFonts w:asciiTheme="minorHAnsi" w:hAnsiTheme="minorHAnsi"/>
                <w:sz w:val="20"/>
                <w:szCs w:val="20"/>
                <w:lang w:val="en-US"/>
              </w:rPr>
              <w:t xml:space="preserve">  certain  management  functions  for the Automatic Identification System intended only for competent authorities.</w:t>
            </w:r>
          </w:p>
        </w:tc>
        <w:tc>
          <w:tcPr>
            <w:tcW w:w="1081" w:type="dxa"/>
            <w:tcBorders>
              <w:top w:val="nil"/>
            </w:tcBorders>
            <w:shd w:val="clear" w:color="auto" w:fill="auto"/>
            <w:tcMar>
              <w:left w:w="23" w:type="dxa"/>
            </w:tcMar>
            <w:vAlign w:val="center"/>
          </w:tcPr>
          <w:p w:rsidR="006904E2" w:rsidRDefault="006904E2">
            <w:pPr>
              <w:pStyle w:val="BodyText"/>
              <w:jc w:val="center"/>
              <w:rPr>
                <w:rFonts w:asciiTheme="minorHAnsi" w:hAnsiTheme="minorHAnsi"/>
                <w:sz w:val="20"/>
                <w:szCs w:val="20"/>
              </w:rPr>
            </w:pPr>
          </w:p>
        </w:tc>
        <w:tc>
          <w:tcPr>
            <w:tcW w:w="1125" w:type="dxa"/>
            <w:tcBorders>
              <w:top w:val="nil"/>
            </w:tcBorders>
            <w:shd w:val="clear" w:color="auto" w:fill="auto"/>
            <w:tcMar>
              <w:left w:w="23" w:type="dxa"/>
            </w:tcMar>
            <w:vAlign w:val="center"/>
          </w:tcPr>
          <w:p w:rsidR="006904E2" w:rsidRDefault="006904E2">
            <w:pPr>
              <w:pStyle w:val="BodyText"/>
              <w:jc w:val="center"/>
              <w:rPr>
                <w:rFonts w:asciiTheme="minorHAnsi" w:hAnsiTheme="minorHAnsi"/>
                <w:sz w:val="20"/>
                <w:szCs w:val="20"/>
              </w:rPr>
            </w:pPr>
          </w:p>
        </w:tc>
        <w:tc>
          <w:tcPr>
            <w:tcW w:w="997" w:type="dxa"/>
            <w:tcBorders>
              <w:top w:val="nil"/>
              <w:left w:val="nil"/>
              <w:right w:val="nil"/>
            </w:tcBorders>
            <w:shd w:val="clear" w:color="auto" w:fill="auto"/>
            <w:vAlign w:val="center"/>
          </w:tcPr>
          <w:p w:rsidR="006904E2" w:rsidRDefault="00010018">
            <w:pPr>
              <w:pStyle w:val="BodyText"/>
              <w:jc w:val="left"/>
            </w:pPr>
            <w:r>
              <w:rPr>
                <w:rFonts w:asciiTheme="minorHAnsi" w:hAnsiTheme="minorHAnsi"/>
                <w:sz w:val="20"/>
                <w:szCs w:val="20"/>
              </w:rPr>
              <w:t xml:space="preserve">New term </w:t>
            </w:r>
          </w:p>
        </w:tc>
        <w:tc>
          <w:tcPr>
            <w:tcW w:w="1072" w:type="dxa"/>
            <w:tcBorders>
              <w:top w:val="nil"/>
              <w:left w:val="nil"/>
              <w:right w:val="nil"/>
            </w:tcBorders>
            <w:shd w:val="clear" w:color="auto" w:fill="auto"/>
            <w:vAlign w:val="center"/>
          </w:tcPr>
          <w:p w:rsidR="006904E2" w:rsidRDefault="00010018">
            <w:pPr>
              <w:pStyle w:val="BodyText"/>
              <w:jc w:val="left"/>
            </w:pPr>
            <w:r>
              <w:rPr>
                <w:rFonts w:asciiTheme="minorHAnsi" w:hAnsiTheme="minorHAnsi"/>
                <w:sz w:val="20"/>
                <w:szCs w:val="20"/>
              </w:rPr>
              <w:t>May 2015</w:t>
            </w:r>
          </w:p>
        </w:tc>
        <w:tc>
          <w:tcPr>
            <w:tcW w:w="924" w:type="dxa"/>
            <w:tcBorders>
              <w:top w:val="nil"/>
            </w:tcBorders>
            <w:shd w:val="clear" w:color="auto" w:fill="auto"/>
            <w:tcMar>
              <w:left w:w="23" w:type="dxa"/>
            </w:tcMar>
            <w:vAlign w:val="center"/>
          </w:tcPr>
          <w:p w:rsidR="006904E2" w:rsidRDefault="00010018">
            <w:pPr>
              <w:pStyle w:val="BodyText"/>
              <w:rPr>
                <w:rFonts w:asciiTheme="minorHAnsi" w:hAnsiTheme="minorHAnsi"/>
                <w:sz w:val="20"/>
                <w:szCs w:val="20"/>
              </w:rPr>
            </w:pPr>
            <w:r>
              <w:rPr>
                <w:rFonts w:asciiTheme="minorHAnsi" w:hAnsiTheme="minorHAnsi"/>
                <w:sz w:val="20"/>
                <w:szCs w:val="20"/>
              </w:rPr>
              <w:t>IALA Council approved</w:t>
            </w:r>
          </w:p>
        </w:tc>
      </w:tr>
      <w:tr w:rsidR="006904E2">
        <w:tc>
          <w:tcPr>
            <w:tcW w:w="1364" w:type="dxa"/>
            <w:shd w:val="clear" w:color="auto" w:fill="auto"/>
            <w:tcMar>
              <w:left w:w="23" w:type="dxa"/>
            </w:tcMar>
          </w:tcPr>
          <w:p w:rsidR="006904E2" w:rsidRDefault="00010018">
            <w:pPr>
              <w:pStyle w:val="BodyText"/>
              <w:jc w:val="left"/>
            </w:pPr>
            <w:r>
              <w:rPr>
                <w:rFonts w:asciiTheme="minorHAnsi" w:hAnsiTheme="minorHAnsi"/>
                <w:sz w:val="20"/>
                <w:szCs w:val="20"/>
                <w:u w:val="single"/>
              </w:rPr>
              <w:t>Rad</w:t>
            </w:r>
            <w:r>
              <w:rPr>
                <w:rFonts w:asciiTheme="minorHAnsi" w:hAnsiTheme="minorHAnsi"/>
                <w:sz w:val="20"/>
                <w:szCs w:val="20"/>
              </w:rPr>
              <w:t>ar Services (RAD)</w:t>
            </w:r>
          </w:p>
        </w:tc>
        <w:tc>
          <w:tcPr>
            <w:tcW w:w="960" w:type="dxa"/>
            <w:shd w:val="clear" w:color="auto" w:fill="auto"/>
            <w:tcMar>
              <w:left w:w="23" w:type="dxa"/>
            </w:tcMar>
            <w:vAlign w:val="center"/>
          </w:tcPr>
          <w:p w:rsidR="006904E2" w:rsidRDefault="006904E2">
            <w:pPr>
              <w:pStyle w:val="BodyText"/>
              <w:jc w:val="left"/>
              <w:rPr>
                <w:rFonts w:asciiTheme="minorHAnsi" w:hAnsiTheme="minorHAnsi"/>
                <w:sz w:val="20"/>
                <w:szCs w:val="20"/>
              </w:rPr>
            </w:pPr>
          </w:p>
        </w:tc>
        <w:tc>
          <w:tcPr>
            <w:tcW w:w="1921" w:type="dxa"/>
            <w:shd w:val="clear" w:color="auto" w:fill="auto"/>
            <w:tcMar>
              <w:left w:w="23" w:type="dxa"/>
            </w:tcMar>
          </w:tcPr>
          <w:p w:rsidR="006904E2" w:rsidRDefault="00010018">
            <w:pPr>
              <w:pStyle w:val="BodyText"/>
              <w:jc w:val="center"/>
            </w:pPr>
            <w:r>
              <w:rPr>
                <w:rFonts w:asciiTheme="minorHAnsi" w:hAnsiTheme="minorHAnsi"/>
                <w:sz w:val="20"/>
                <w:szCs w:val="20"/>
              </w:rPr>
              <w:t>IALA Guideline 1114, chapter 3</w:t>
            </w:r>
          </w:p>
        </w:tc>
        <w:tc>
          <w:tcPr>
            <w:tcW w:w="975" w:type="dxa"/>
            <w:shd w:val="clear" w:color="auto" w:fill="auto"/>
            <w:tcMar>
              <w:left w:w="23" w:type="dxa"/>
            </w:tcMar>
          </w:tcPr>
          <w:p w:rsidR="006904E2" w:rsidRDefault="006904E2">
            <w:pPr>
              <w:pStyle w:val="BodyText"/>
              <w:jc w:val="center"/>
              <w:rPr>
                <w:rFonts w:asciiTheme="minorHAnsi" w:hAnsiTheme="minorHAnsi"/>
                <w:sz w:val="20"/>
                <w:szCs w:val="20"/>
              </w:rPr>
            </w:pPr>
          </w:p>
        </w:tc>
        <w:tc>
          <w:tcPr>
            <w:tcW w:w="4365" w:type="dxa"/>
            <w:shd w:val="clear" w:color="auto" w:fill="auto"/>
            <w:tcMar>
              <w:left w:w="23" w:type="dxa"/>
            </w:tcMar>
          </w:tcPr>
          <w:p w:rsidR="006904E2" w:rsidRDefault="00010018">
            <w:pPr>
              <w:pStyle w:val="BodyText"/>
              <w:spacing w:after="0"/>
            </w:pPr>
            <w:r>
              <w:rPr>
                <w:rFonts w:asciiTheme="minorHAnsi" w:hAnsiTheme="minorHAnsi"/>
                <w:sz w:val="20"/>
                <w:szCs w:val="20"/>
              </w:rPr>
              <w:t xml:space="preserve">In the context of the Common Shore-based System Architecture (CSSA), the </w:t>
            </w:r>
            <w:r>
              <w:rPr>
                <w:rFonts w:asciiTheme="minorHAnsi" w:hAnsiTheme="minorHAnsi"/>
                <w:sz w:val="20"/>
                <w:szCs w:val="20"/>
                <w:u w:val="single"/>
              </w:rPr>
              <w:t>Rad</w:t>
            </w:r>
            <w:r>
              <w:rPr>
                <w:rFonts w:asciiTheme="minorHAnsi" w:hAnsiTheme="minorHAnsi"/>
                <w:sz w:val="20"/>
                <w:szCs w:val="20"/>
              </w:rPr>
              <w:t>ar Service (RAD) delivers to the Common Shore-based System (CSS) all radar-derived data, i.e. radar images, radar plots, and radar tracks, each of which are provided with radar-specific relevant quality parameters.</w:t>
            </w:r>
          </w:p>
        </w:tc>
        <w:tc>
          <w:tcPr>
            <w:tcW w:w="1081" w:type="dxa"/>
            <w:shd w:val="clear" w:color="auto" w:fill="auto"/>
            <w:tcMar>
              <w:left w:w="23" w:type="dxa"/>
            </w:tcMar>
          </w:tcPr>
          <w:p w:rsidR="006904E2" w:rsidRDefault="006904E2">
            <w:pPr>
              <w:pStyle w:val="BodyText"/>
              <w:jc w:val="left"/>
              <w:rPr>
                <w:rFonts w:asciiTheme="minorHAnsi" w:hAnsiTheme="minorHAnsi"/>
                <w:sz w:val="20"/>
                <w:szCs w:val="20"/>
              </w:rPr>
            </w:pPr>
          </w:p>
        </w:tc>
        <w:tc>
          <w:tcPr>
            <w:tcW w:w="1125" w:type="dxa"/>
            <w:shd w:val="clear" w:color="auto" w:fill="auto"/>
            <w:tcMar>
              <w:left w:w="23" w:type="dxa"/>
            </w:tcMar>
            <w:vAlign w:val="center"/>
          </w:tcPr>
          <w:p w:rsidR="006904E2" w:rsidRDefault="006904E2">
            <w:pPr>
              <w:pStyle w:val="BodyText"/>
              <w:jc w:val="left"/>
              <w:rPr>
                <w:rFonts w:asciiTheme="minorHAnsi" w:hAnsiTheme="minorHAnsi"/>
                <w:sz w:val="20"/>
                <w:szCs w:val="20"/>
              </w:rPr>
            </w:pPr>
          </w:p>
        </w:tc>
        <w:tc>
          <w:tcPr>
            <w:tcW w:w="997" w:type="dxa"/>
            <w:tcBorders>
              <w:top w:val="nil"/>
              <w:left w:val="nil"/>
              <w:right w:val="nil"/>
            </w:tcBorders>
            <w:shd w:val="clear" w:color="auto" w:fill="auto"/>
            <w:vAlign w:val="center"/>
          </w:tcPr>
          <w:p w:rsidR="006904E2" w:rsidRDefault="00010018">
            <w:pPr>
              <w:pStyle w:val="BodyText"/>
              <w:jc w:val="left"/>
              <w:rPr>
                <w:rFonts w:asciiTheme="minorHAnsi" w:hAnsiTheme="minorHAnsi"/>
                <w:sz w:val="20"/>
                <w:szCs w:val="20"/>
              </w:rPr>
            </w:pPr>
            <w:r>
              <w:rPr>
                <w:rFonts w:ascii="Calibri" w:hAnsi="Calibri"/>
                <w:sz w:val="20"/>
                <w:szCs w:val="20"/>
              </w:rPr>
              <w:t xml:space="preserve">New term </w:t>
            </w:r>
          </w:p>
        </w:tc>
        <w:tc>
          <w:tcPr>
            <w:tcW w:w="1072" w:type="dxa"/>
            <w:tcBorders>
              <w:top w:val="nil"/>
              <w:left w:val="nil"/>
              <w:right w:val="nil"/>
            </w:tcBorders>
            <w:shd w:val="clear" w:color="auto" w:fill="auto"/>
            <w:vAlign w:val="center"/>
          </w:tcPr>
          <w:p w:rsidR="006904E2" w:rsidRDefault="00010018">
            <w:pPr>
              <w:pStyle w:val="BodyText"/>
              <w:jc w:val="left"/>
              <w:rPr>
                <w:rFonts w:asciiTheme="minorHAnsi" w:hAnsiTheme="minorHAnsi"/>
                <w:sz w:val="20"/>
                <w:szCs w:val="20"/>
              </w:rPr>
            </w:pPr>
            <w:r>
              <w:rPr>
                <w:rFonts w:ascii="Calibri" w:hAnsi="Calibri"/>
                <w:sz w:val="20"/>
                <w:szCs w:val="20"/>
              </w:rPr>
              <w:t>May 2015</w:t>
            </w:r>
          </w:p>
        </w:tc>
        <w:tc>
          <w:tcPr>
            <w:tcW w:w="924" w:type="dxa"/>
            <w:tcBorders>
              <w:top w:val="nil"/>
            </w:tcBorders>
            <w:shd w:val="clear" w:color="auto" w:fill="auto"/>
            <w:tcMar>
              <w:left w:w="23" w:type="dxa"/>
            </w:tcMar>
            <w:vAlign w:val="center"/>
          </w:tcPr>
          <w:p w:rsidR="006904E2" w:rsidRDefault="00010018">
            <w:pPr>
              <w:pStyle w:val="BodyText"/>
              <w:rPr>
                <w:rFonts w:asciiTheme="minorHAnsi" w:hAnsiTheme="minorHAnsi"/>
                <w:sz w:val="20"/>
                <w:szCs w:val="20"/>
              </w:rPr>
            </w:pPr>
            <w:r>
              <w:rPr>
                <w:rFonts w:ascii="Calibri" w:hAnsi="Calibri"/>
                <w:sz w:val="20"/>
                <w:szCs w:val="20"/>
              </w:rPr>
              <w:t>IALA Council approved</w:t>
            </w:r>
          </w:p>
        </w:tc>
      </w:tr>
      <w:tr w:rsidR="006904E2">
        <w:tc>
          <w:tcPr>
            <w:tcW w:w="1364" w:type="dxa"/>
            <w:shd w:val="clear" w:color="auto" w:fill="auto"/>
            <w:tcMar>
              <w:left w:w="23" w:type="dxa"/>
            </w:tcMar>
          </w:tcPr>
          <w:p w:rsidR="006904E2" w:rsidRDefault="00010018">
            <w:pPr>
              <w:pStyle w:val="BodyText"/>
              <w:spacing w:after="0"/>
              <w:rPr>
                <w:rFonts w:asciiTheme="minorHAnsi" w:hAnsiTheme="minorHAnsi"/>
                <w:sz w:val="20"/>
                <w:szCs w:val="20"/>
              </w:rPr>
            </w:pPr>
            <w:r>
              <w:rPr>
                <w:rFonts w:asciiTheme="minorHAnsi" w:hAnsiTheme="minorHAnsi"/>
                <w:sz w:val="20"/>
                <w:szCs w:val="20"/>
                <w:u w:val="single"/>
              </w:rPr>
              <w:t>D</w:t>
            </w:r>
            <w:r>
              <w:rPr>
                <w:rFonts w:asciiTheme="minorHAnsi" w:hAnsiTheme="minorHAnsi"/>
                <w:sz w:val="20"/>
                <w:szCs w:val="20"/>
              </w:rPr>
              <w:t xml:space="preserve">irection </w:t>
            </w:r>
            <w:r>
              <w:rPr>
                <w:rFonts w:asciiTheme="minorHAnsi" w:hAnsiTheme="minorHAnsi"/>
                <w:sz w:val="20"/>
                <w:szCs w:val="20"/>
                <w:u w:val="single"/>
              </w:rPr>
              <w:t>F</w:t>
            </w:r>
            <w:r>
              <w:rPr>
                <w:rFonts w:asciiTheme="minorHAnsi" w:hAnsiTheme="minorHAnsi"/>
                <w:sz w:val="20"/>
                <w:szCs w:val="20"/>
              </w:rPr>
              <w:t xml:space="preserve">inding </w:t>
            </w:r>
            <w:r>
              <w:rPr>
                <w:rFonts w:asciiTheme="minorHAnsi" w:hAnsiTheme="minorHAnsi"/>
                <w:sz w:val="20"/>
                <w:szCs w:val="20"/>
                <w:u w:val="single"/>
              </w:rPr>
              <w:t>S</w:t>
            </w:r>
            <w:r>
              <w:rPr>
                <w:rFonts w:asciiTheme="minorHAnsi" w:hAnsiTheme="minorHAnsi"/>
                <w:sz w:val="20"/>
                <w:szCs w:val="20"/>
              </w:rPr>
              <w:t>ervice (DFS)</w:t>
            </w:r>
          </w:p>
        </w:tc>
        <w:tc>
          <w:tcPr>
            <w:tcW w:w="960" w:type="dxa"/>
            <w:shd w:val="clear" w:color="auto" w:fill="auto"/>
            <w:tcMar>
              <w:left w:w="23" w:type="dxa"/>
            </w:tcMar>
            <w:vAlign w:val="center"/>
          </w:tcPr>
          <w:p w:rsidR="006904E2" w:rsidRDefault="006904E2">
            <w:pPr>
              <w:pStyle w:val="BodyText"/>
              <w:jc w:val="center"/>
              <w:rPr>
                <w:rFonts w:asciiTheme="minorHAnsi" w:hAnsiTheme="minorHAnsi"/>
                <w:sz w:val="20"/>
                <w:szCs w:val="20"/>
              </w:rPr>
            </w:pPr>
          </w:p>
        </w:tc>
        <w:tc>
          <w:tcPr>
            <w:tcW w:w="1921" w:type="dxa"/>
            <w:shd w:val="clear" w:color="auto" w:fill="auto"/>
            <w:tcMar>
              <w:left w:w="23" w:type="dxa"/>
            </w:tcMar>
          </w:tcPr>
          <w:p w:rsidR="006904E2" w:rsidRDefault="00010018">
            <w:pPr>
              <w:pStyle w:val="BodyText"/>
              <w:jc w:val="center"/>
            </w:pPr>
            <w:r>
              <w:rPr>
                <w:rFonts w:asciiTheme="minorHAnsi" w:hAnsiTheme="minorHAnsi"/>
                <w:sz w:val="20"/>
                <w:szCs w:val="20"/>
              </w:rPr>
              <w:t>IALA Guideline 1114, chapter 3</w:t>
            </w:r>
          </w:p>
        </w:tc>
        <w:tc>
          <w:tcPr>
            <w:tcW w:w="975" w:type="dxa"/>
            <w:shd w:val="clear" w:color="auto" w:fill="auto"/>
            <w:tcMar>
              <w:left w:w="23" w:type="dxa"/>
            </w:tcMar>
          </w:tcPr>
          <w:p w:rsidR="006904E2" w:rsidRDefault="006904E2">
            <w:pPr>
              <w:pStyle w:val="BodyText"/>
              <w:jc w:val="center"/>
              <w:rPr>
                <w:rFonts w:asciiTheme="minorHAnsi" w:hAnsiTheme="minorHAnsi"/>
                <w:sz w:val="20"/>
                <w:szCs w:val="20"/>
              </w:rPr>
            </w:pPr>
          </w:p>
        </w:tc>
        <w:tc>
          <w:tcPr>
            <w:tcW w:w="4365" w:type="dxa"/>
            <w:shd w:val="clear" w:color="auto" w:fill="auto"/>
            <w:tcMar>
              <w:left w:w="23" w:type="dxa"/>
            </w:tcMar>
          </w:tcPr>
          <w:p w:rsidR="006904E2" w:rsidRDefault="00010018">
            <w:pPr>
              <w:pStyle w:val="BodyText"/>
              <w:spacing w:after="0"/>
            </w:pPr>
            <w:r>
              <w:rPr>
                <w:rFonts w:asciiTheme="minorHAnsi" w:hAnsiTheme="minorHAnsi"/>
                <w:sz w:val="20"/>
                <w:szCs w:val="20"/>
              </w:rPr>
              <w:t xml:space="preserve">In the context of the Common Shore-based System Architecture (CSSA), the </w:t>
            </w:r>
            <w:r>
              <w:rPr>
                <w:rFonts w:asciiTheme="minorHAnsi" w:hAnsiTheme="minorHAnsi"/>
                <w:sz w:val="20"/>
                <w:szCs w:val="20"/>
                <w:u w:val="single"/>
              </w:rPr>
              <w:t>D</w:t>
            </w:r>
            <w:r>
              <w:rPr>
                <w:rFonts w:asciiTheme="minorHAnsi" w:hAnsiTheme="minorHAnsi"/>
                <w:sz w:val="20"/>
                <w:szCs w:val="20"/>
              </w:rPr>
              <w:t xml:space="preserve">irection </w:t>
            </w:r>
            <w:r>
              <w:rPr>
                <w:rFonts w:asciiTheme="minorHAnsi" w:hAnsiTheme="minorHAnsi"/>
                <w:sz w:val="20"/>
                <w:szCs w:val="20"/>
                <w:u w:val="single"/>
              </w:rPr>
              <w:t>F</w:t>
            </w:r>
            <w:r>
              <w:rPr>
                <w:rFonts w:asciiTheme="minorHAnsi" w:hAnsiTheme="minorHAnsi"/>
                <w:sz w:val="20"/>
                <w:szCs w:val="20"/>
              </w:rPr>
              <w:t xml:space="preserve">inding </w:t>
            </w:r>
            <w:r>
              <w:rPr>
                <w:rFonts w:asciiTheme="minorHAnsi" w:hAnsiTheme="minorHAnsi"/>
                <w:sz w:val="20"/>
                <w:szCs w:val="20"/>
                <w:u w:val="single"/>
              </w:rPr>
              <w:t>S</w:t>
            </w:r>
            <w:r>
              <w:rPr>
                <w:rFonts w:asciiTheme="minorHAnsi" w:hAnsiTheme="minorHAnsi"/>
                <w:sz w:val="20"/>
                <w:szCs w:val="20"/>
              </w:rPr>
              <w:t xml:space="preserve">ervice (DFS) determines the current position of a mobile VHF voice/data transmission device operating on one of the several frequency channels monitored. Thus, a DF track together with </w:t>
            </w:r>
            <w:proofErr w:type="gramStart"/>
            <w:r>
              <w:rPr>
                <w:rFonts w:asciiTheme="minorHAnsi" w:hAnsiTheme="minorHAnsi"/>
                <w:sz w:val="20"/>
                <w:szCs w:val="20"/>
              </w:rPr>
              <w:t>relevant  quality</w:t>
            </w:r>
            <w:proofErr w:type="gramEnd"/>
            <w:r>
              <w:rPr>
                <w:rFonts w:asciiTheme="minorHAnsi" w:hAnsiTheme="minorHAnsi"/>
                <w:sz w:val="20"/>
                <w:szCs w:val="20"/>
              </w:rPr>
              <w:t xml:space="preserve">  parameters  (e.g.  </w:t>
            </w:r>
            <w:proofErr w:type="gramStart"/>
            <w:r>
              <w:rPr>
                <w:rFonts w:asciiTheme="minorHAnsi" w:hAnsiTheme="minorHAnsi"/>
                <w:sz w:val="20"/>
                <w:szCs w:val="20"/>
              </w:rPr>
              <w:t>accuracy  estimation</w:t>
            </w:r>
            <w:proofErr w:type="gramEnd"/>
            <w:r>
              <w:rPr>
                <w:rFonts w:asciiTheme="minorHAnsi" w:hAnsiTheme="minorHAnsi"/>
                <w:sz w:val="20"/>
                <w:szCs w:val="20"/>
              </w:rPr>
              <w:t>)  is  provided to  the Common Shore-based System (CSS).</w:t>
            </w:r>
          </w:p>
        </w:tc>
        <w:tc>
          <w:tcPr>
            <w:tcW w:w="1081" w:type="dxa"/>
            <w:shd w:val="clear" w:color="auto" w:fill="auto"/>
            <w:tcMar>
              <w:left w:w="23" w:type="dxa"/>
            </w:tcMar>
          </w:tcPr>
          <w:p w:rsidR="006904E2" w:rsidRDefault="006904E2">
            <w:pPr>
              <w:pStyle w:val="BodyText"/>
              <w:jc w:val="left"/>
              <w:rPr>
                <w:rFonts w:asciiTheme="minorHAnsi" w:hAnsiTheme="minorHAnsi"/>
                <w:sz w:val="20"/>
                <w:szCs w:val="20"/>
              </w:rPr>
            </w:pPr>
          </w:p>
        </w:tc>
        <w:tc>
          <w:tcPr>
            <w:tcW w:w="1125" w:type="dxa"/>
            <w:shd w:val="clear" w:color="auto" w:fill="auto"/>
            <w:tcMar>
              <w:left w:w="23" w:type="dxa"/>
            </w:tcMar>
            <w:vAlign w:val="center"/>
          </w:tcPr>
          <w:p w:rsidR="006904E2" w:rsidRDefault="006904E2">
            <w:pPr>
              <w:pStyle w:val="BodyText"/>
              <w:jc w:val="left"/>
              <w:rPr>
                <w:rFonts w:asciiTheme="minorHAnsi" w:hAnsiTheme="minorHAnsi"/>
                <w:sz w:val="20"/>
                <w:szCs w:val="20"/>
              </w:rPr>
            </w:pPr>
          </w:p>
        </w:tc>
        <w:tc>
          <w:tcPr>
            <w:tcW w:w="997" w:type="dxa"/>
            <w:tcBorders>
              <w:top w:val="nil"/>
              <w:left w:val="nil"/>
              <w:right w:val="nil"/>
            </w:tcBorders>
            <w:shd w:val="clear" w:color="auto" w:fill="auto"/>
            <w:vAlign w:val="center"/>
          </w:tcPr>
          <w:p w:rsidR="006904E2" w:rsidRDefault="00010018">
            <w:pPr>
              <w:pStyle w:val="BodyText"/>
              <w:jc w:val="left"/>
              <w:rPr>
                <w:rFonts w:asciiTheme="minorHAnsi" w:hAnsiTheme="minorHAnsi"/>
                <w:sz w:val="20"/>
                <w:szCs w:val="20"/>
              </w:rPr>
            </w:pPr>
            <w:r>
              <w:rPr>
                <w:rFonts w:ascii="Calibri" w:hAnsi="Calibri"/>
                <w:sz w:val="20"/>
                <w:szCs w:val="20"/>
              </w:rPr>
              <w:t xml:space="preserve">New term </w:t>
            </w:r>
          </w:p>
        </w:tc>
        <w:tc>
          <w:tcPr>
            <w:tcW w:w="1072" w:type="dxa"/>
            <w:tcBorders>
              <w:top w:val="nil"/>
              <w:left w:val="nil"/>
              <w:right w:val="nil"/>
            </w:tcBorders>
            <w:shd w:val="clear" w:color="auto" w:fill="auto"/>
            <w:vAlign w:val="center"/>
          </w:tcPr>
          <w:p w:rsidR="006904E2" w:rsidRDefault="00010018">
            <w:pPr>
              <w:pStyle w:val="BodyText"/>
              <w:jc w:val="left"/>
              <w:rPr>
                <w:rFonts w:asciiTheme="minorHAnsi" w:hAnsiTheme="minorHAnsi"/>
                <w:sz w:val="20"/>
                <w:szCs w:val="20"/>
              </w:rPr>
            </w:pPr>
            <w:r>
              <w:rPr>
                <w:rFonts w:ascii="Calibri" w:hAnsi="Calibri"/>
                <w:sz w:val="20"/>
                <w:szCs w:val="20"/>
              </w:rPr>
              <w:t>May 2015</w:t>
            </w:r>
          </w:p>
        </w:tc>
        <w:tc>
          <w:tcPr>
            <w:tcW w:w="924" w:type="dxa"/>
            <w:tcBorders>
              <w:top w:val="nil"/>
            </w:tcBorders>
            <w:shd w:val="clear" w:color="auto" w:fill="auto"/>
            <w:tcMar>
              <w:left w:w="23" w:type="dxa"/>
            </w:tcMar>
            <w:vAlign w:val="center"/>
          </w:tcPr>
          <w:p w:rsidR="006904E2" w:rsidRDefault="00010018">
            <w:pPr>
              <w:pStyle w:val="BodyText"/>
              <w:rPr>
                <w:rFonts w:asciiTheme="minorHAnsi" w:hAnsiTheme="minorHAnsi"/>
                <w:sz w:val="20"/>
                <w:szCs w:val="20"/>
              </w:rPr>
            </w:pPr>
            <w:r>
              <w:rPr>
                <w:rFonts w:ascii="Calibri" w:hAnsi="Calibri"/>
                <w:sz w:val="20"/>
                <w:szCs w:val="20"/>
              </w:rPr>
              <w:t>IALA Council approved</w:t>
            </w:r>
          </w:p>
        </w:tc>
      </w:tr>
      <w:tr w:rsidR="006904E2">
        <w:tc>
          <w:tcPr>
            <w:tcW w:w="1364" w:type="dxa"/>
            <w:shd w:val="clear" w:color="auto" w:fill="auto"/>
            <w:tcMar>
              <w:left w:w="23" w:type="dxa"/>
            </w:tcMar>
          </w:tcPr>
          <w:p w:rsidR="006904E2" w:rsidRDefault="00010018">
            <w:pPr>
              <w:pStyle w:val="BodyText"/>
              <w:spacing w:after="0"/>
              <w:rPr>
                <w:rFonts w:asciiTheme="minorHAnsi" w:hAnsiTheme="minorHAnsi"/>
                <w:sz w:val="20"/>
                <w:szCs w:val="20"/>
              </w:rPr>
            </w:pPr>
            <w:r>
              <w:rPr>
                <w:rFonts w:asciiTheme="minorHAnsi" w:hAnsiTheme="minorHAnsi"/>
                <w:sz w:val="20"/>
                <w:szCs w:val="20"/>
                <w:u w:val="single"/>
              </w:rPr>
              <w:t>DGN</w:t>
            </w:r>
            <w:r>
              <w:rPr>
                <w:rFonts w:asciiTheme="minorHAnsi" w:hAnsiTheme="minorHAnsi"/>
                <w:sz w:val="20"/>
                <w:szCs w:val="20"/>
              </w:rPr>
              <w:t>SS Augmentation Service (DGN)</w:t>
            </w:r>
          </w:p>
        </w:tc>
        <w:tc>
          <w:tcPr>
            <w:tcW w:w="960" w:type="dxa"/>
            <w:shd w:val="clear" w:color="auto" w:fill="auto"/>
            <w:tcMar>
              <w:left w:w="23" w:type="dxa"/>
            </w:tcMar>
            <w:vAlign w:val="center"/>
          </w:tcPr>
          <w:p w:rsidR="006904E2" w:rsidRDefault="006904E2">
            <w:pPr>
              <w:pStyle w:val="BodyText"/>
              <w:jc w:val="center"/>
              <w:rPr>
                <w:rFonts w:asciiTheme="minorHAnsi" w:hAnsiTheme="minorHAnsi"/>
                <w:sz w:val="20"/>
                <w:szCs w:val="20"/>
              </w:rPr>
            </w:pPr>
          </w:p>
        </w:tc>
        <w:tc>
          <w:tcPr>
            <w:tcW w:w="1921" w:type="dxa"/>
            <w:shd w:val="clear" w:color="auto" w:fill="auto"/>
            <w:tcMar>
              <w:left w:w="23" w:type="dxa"/>
            </w:tcMar>
          </w:tcPr>
          <w:p w:rsidR="006904E2" w:rsidRDefault="00010018">
            <w:pPr>
              <w:pStyle w:val="BodyText"/>
              <w:jc w:val="center"/>
            </w:pPr>
            <w:r>
              <w:rPr>
                <w:rFonts w:asciiTheme="minorHAnsi" w:hAnsiTheme="minorHAnsi"/>
                <w:sz w:val="20"/>
                <w:szCs w:val="20"/>
              </w:rPr>
              <w:t>IALA Guideline 1114, chapter 3</w:t>
            </w:r>
          </w:p>
        </w:tc>
        <w:tc>
          <w:tcPr>
            <w:tcW w:w="975" w:type="dxa"/>
            <w:shd w:val="clear" w:color="auto" w:fill="auto"/>
            <w:tcMar>
              <w:left w:w="23" w:type="dxa"/>
            </w:tcMar>
          </w:tcPr>
          <w:p w:rsidR="006904E2" w:rsidRDefault="006904E2">
            <w:pPr>
              <w:pStyle w:val="BodyText"/>
              <w:jc w:val="center"/>
              <w:rPr>
                <w:rFonts w:asciiTheme="minorHAnsi" w:hAnsiTheme="minorHAnsi"/>
                <w:sz w:val="20"/>
                <w:szCs w:val="20"/>
              </w:rPr>
            </w:pPr>
          </w:p>
        </w:tc>
        <w:tc>
          <w:tcPr>
            <w:tcW w:w="4365" w:type="dxa"/>
            <w:shd w:val="clear" w:color="auto" w:fill="auto"/>
            <w:tcMar>
              <w:left w:w="23" w:type="dxa"/>
            </w:tcMar>
          </w:tcPr>
          <w:p w:rsidR="006904E2" w:rsidRDefault="00010018">
            <w:pPr>
              <w:pStyle w:val="BodyText"/>
              <w:spacing w:after="0"/>
            </w:pPr>
            <w:r>
              <w:rPr>
                <w:rFonts w:asciiTheme="minorHAnsi" w:hAnsiTheme="minorHAnsi"/>
                <w:sz w:val="20"/>
                <w:szCs w:val="20"/>
              </w:rPr>
              <w:t xml:space="preserve">In the context of the Common Shore-based System Architecture (CSSA), the </w:t>
            </w:r>
            <w:r>
              <w:rPr>
                <w:rFonts w:asciiTheme="minorHAnsi" w:hAnsiTheme="minorHAnsi"/>
                <w:sz w:val="20"/>
                <w:szCs w:val="20"/>
                <w:u w:val="single"/>
              </w:rPr>
              <w:t>DGN</w:t>
            </w:r>
            <w:r>
              <w:rPr>
                <w:rFonts w:asciiTheme="minorHAnsi" w:hAnsiTheme="minorHAnsi"/>
                <w:sz w:val="20"/>
                <w:szCs w:val="20"/>
              </w:rPr>
              <w:t xml:space="preserve">SS Augmentation Service (DGN) delivers to the CSS all relevant </w:t>
            </w:r>
          </w:p>
          <w:p w:rsidR="006904E2" w:rsidRDefault="00010018">
            <w:pPr>
              <w:pStyle w:val="BodyText"/>
              <w:spacing w:after="0"/>
            </w:pPr>
            <w:proofErr w:type="gramStart"/>
            <w:r>
              <w:rPr>
                <w:rFonts w:asciiTheme="minorHAnsi" w:hAnsiTheme="minorHAnsi"/>
                <w:sz w:val="20"/>
                <w:szCs w:val="20"/>
              </w:rPr>
              <w:t>measurements</w:t>
            </w:r>
            <w:proofErr w:type="gramEnd"/>
            <w:r>
              <w:rPr>
                <w:rFonts w:asciiTheme="minorHAnsi" w:hAnsiTheme="minorHAnsi"/>
                <w:sz w:val="20"/>
                <w:szCs w:val="20"/>
              </w:rPr>
              <w:t xml:space="preserve"> regarding the current ‘on-air’ status of selected components of World Wide Radio Navigation System (WWRNS), such as particular GNSS, terrestrial augmentation and terrestrial backup-systems of other authorities. Also, based on these run-time measurements, the DGNSS Augmentation Service provides own DGNSS augmentation data to the own CSS for transmission </w:t>
            </w:r>
            <w:r>
              <w:rPr>
                <w:rFonts w:asciiTheme="minorHAnsi" w:hAnsiTheme="minorHAnsi"/>
                <w:sz w:val="20"/>
                <w:szCs w:val="20"/>
              </w:rPr>
              <w:lastRenderedPageBreak/>
              <w:t xml:space="preserve">to traffic objects e.g. via the AIS Service or via the </w:t>
            </w:r>
          </w:p>
          <w:p w:rsidR="006904E2" w:rsidRDefault="00010018">
            <w:pPr>
              <w:pStyle w:val="BodyText"/>
              <w:spacing w:after="0"/>
            </w:pPr>
            <w:r>
              <w:rPr>
                <w:rFonts w:asciiTheme="minorHAnsi" w:hAnsiTheme="minorHAnsi"/>
                <w:sz w:val="20"/>
                <w:szCs w:val="20"/>
              </w:rPr>
              <w:t>Medium Frequency Broadcast Service.</w:t>
            </w:r>
          </w:p>
        </w:tc>
        <w:tc>
          <w:tcPr>
            <w:tcW w:w="1081" w:type="dxa"/>
            <w:shd w:val="clear" w:color="auto" w:fill="auto"/>
            <w:tcMar>
              <w:left w:w="23" w:type="dxa"/>
            </w:tcMar>
          </w:tcPr>
          <w:p w:rsidR="006904E2" w:rsidRDefault="006904E2">
            <w:pPr>
              <w:pStyle w:val="BodyText"/>
              <w:jc w:val="left"/>
              <w:rPr>
                <w:rFonts w:asciiTheme="minorHAnsi" w:hAnsiTheme="minorHAnsi"/>
                <w:sz w:val="20"/>
                <w:szCs w:val="20"/>
              </w:rPr>
            </w:pPr>
          </w:p>
        </w:tc>
        <w:tc>
          <w:tcPr>
            <w:tcW w:w="1125" w:type="dxa"/>
            <w:shd w:val="clear" w:color="auto" w:fill="auto"/>
            <w:tcMar>
              <w:left w:w="23" w:type="dxa"/>
            </w:tcMar>
            <w:vAlign w:val="center"/>
          </w:tcPr>
          <w:p w:rsidR="006904E2" w:rsidRDefault="006904E2">
            <w:pPr>
              <w:pStyle w:val="BodyText"/>
              <w:jc w:val="left"/>
              <w:rPr>
                <w:rFonts w:asciiTheme="minorHAnsi" w:hAnsiTheme="minorHAnsi"/>
                <w:sz w:val="20"/>
                <w:szCs w:val="20"/>
              </w:rPr>
            </w:pPr>
          </w:p>
        </w:tc>
        <w:tc>
          <w:tcPr>
            <w:tcW w:w="997" w:type="dxa"/>
            <w:tcBorders>
              <w:top w:val="nil"/>
              <w:left w:val="nil"/>
              <w:right w:val="nil"/>
            </w:tcBorders>
            <w:shd w:val="clear" w:color="auto" w:fill="auto"/>
            <w:vAlign w:val="center"/>
          </w:tcPr>
          <w:p w:rsidR="006904E2" w:rsidRDefault="00010018">
            <w:pPr>
              <w:pStyle w:val="BodyText"/>
              <w:jc w:val="left"/>
              <w:rPr>
                <w:rFonts w:asciiTheme="minorHAnsi" w:hAnsiTheme="minorHAnsi"/>
                <w:sz w:val="20"/>
                <w:szCs w:val="20"/>
              </w:rPr>
            </w:pPr>
            <w:r>
              <w:rPr>
                <w:rFonts w:ascii="Calibri" w:hAnsi="Calibri"/>
                <w:sz w:val="20"/>
                <w:szCs w:val="20"/>
              </w:rPr>
              <w:t xml:space="preserve">New term </w:t>
            </w:r>
          </w:p>
        </w:tc>
        <w:tc>
          <w:tcPr>
            <w:tcW w:w="1072" w:type="dxa"/>
            <w:tcBorders>
              <w:top w:val="nil"/>
              <w:left w:val="nil"/>
              <w:right w:val="nil"/>
            </w:tcBorders>
            <w:shd w:val="clear" w:color="auto" w:fill="auto"/>
            <w:vAlign w:val="center"/>
          </w:tcPr>
          <w:p w:rsidR="006904E2" w:rsidRDefault="00010018">
            <w:pPr>
              <w:pStyle w:val="BodyText"/>
              <w:jc w:val="left"/>
              <w:rPr>
                <w:rFonts w:asciiTheme="minorHAnsi" w:hAnsiTheme="minorHAnsi"/>
                <w:sz w:val="20"/>
                <w:szCs w:val="20"/>
              </w:rPr>
            </w:pPr>
            <w:r>
              <w:rPr>
                <w:rFonts w:ascii="Calibri" w:hAnsi="Calibri"/>
                <w:sz w:val="20"/>
                <w:szCs w:val="20"/>
              </w:rPr>
              <w:t>May 2015</w:t>
            </w:r>
          </w:p>
        </w:tc>
        <w:tc>
          <w:tcPr>
            <w:tcW w:w="924" w:type="dxa"/>
            <w:tcBorders>
              <w:top w:val="nil"/>
            </w:tcBorders>
            <w:shd w:val="clear" w:color="auto" w:fill="auto"/>
            <w:tcMar>
              <w:left w:w="23" w:type="dxa"/>
            </w:tcMar>
            <w:vAlign w:val="center"/>
          </w:tcPr>
          <w:p w:rsidR="006904E2" w:rsidRDefault="00010018">
            <w:pPr>
              <w:pStyle w:val="BodyText"/>
              <w:rPr>
                <w:rFonts w:asciiTheme="minorHAnsi" w:hAnsiTheme="minorHAnsi"/>
                <w:sz w:val="20"/>
                <w:szCs w:val="20"/>
              </w:rPr>
            </w:pPr>
            <w:r>
              <w:rPr>
                <w:rFonts w:ascii="Calibri" w:hAnsi="Calibri"/>
                <w:sz w:val="20"/>
                <w:szCs w:val="20"/>
              </w:rPr>
              <w:t>IALA Council approved</w:t>
            </w:r>
          </w:p>
        </w:tc>
      </w:tr>
      <w:tr w:rsidR="006904E2">
        <w:tc>
          <w:tcPr>
            <w:tcW w:w="1364" w:type="dxa"/>
            <w:shd w:val="clear" w:color="auto" w:fill="auto"/>
            <w:tcMar>
              <w:left w:w="23" w:type="dxa"/>
            </w:tcMar>
          </w:tcPr>
          <w:p w:rsidR="006904E2" w:rsidRDefault="00010018">
            <w:pPr>
              <w:pStyle w:val="BodyText"/>
              <w:spacing w:after="0"/>
              <w:rPr>
                <w:rFonts w:asciiTheme="minorHAnsi" w:hAnsiTheme="minorHAnsi"/>
                <w:sz w:val="20"/>
                <w:szCs w:val="20"/>
              </w:rPr>
            </w:pPr>
            <w:r>
              <w:rPr>
                <w:rFonts w:asciiTheme="minorHAnsi" w:hAnsiTheme="minorHAnsi"/>
                <w:sz w:val="20"/>
                <w:szCs w:val="20"/>
                <w:u w:val="single"/>
              </w:rPr>
              <w:lastRenderedPageBreak/>
              <w:t>M</w:t>
            </w:r>
            <w:r>
              <w:rPr>
                <w:rFonts w:asciiTheme="minorHAnsi" w:hAnsiTheme="minorHAnsi"/>
                <w:sz w:val="20"/>
                <w:szCs w:val="20"/>
              </w:rPr>
              <w:t xml:space="preserve">edium </w:t>
            </w:r>
            <w:r>
              <w:rPr>
                <w:rFonts w:asciiTheme="minorHAnsi" w:hAnsiTheme="minorHAnsi"/>
                <w:sz w:val="20"/>
                <w:szCs w:val="20"/>
                <w:u w:val="single"/>
              </w:rPr>
              <w:t>F</w:t>
            </w:r>
            <w:r>
              <w:rPr>
                <w:rFonts w:asciiTheme="minorHAnsi" w:hAnsiTheme="minorHAnsi"/>
                <w:sz w:val="20"/>
                <w:szCs w:val="20"/>
              </w:rPr>
              <w:t xml:space="preserve">requency </w:t>
            </w:r>
            <w:r>
              <w:rPr>
                <w:rFonts w:asciiTheme="minorHAnsi" w:hAnsiTheme="minorHAnsi"/>
                <w:sz w:val="20"/>
                <w:szCs w:val="20"/>
                <w:u w:val="single"/>
              </w:rPr>
              <w:t>B</w:t>
            </w:r>
            <w:r>
              <w:rPr>
                <w:rFonts w:asciiTheme="minorHAnsi" w:hAnsiTheme="minorHAnsi"/>
                <w:sz w:val="20"/>
                <w:szCs w:val="20"/>
              </w:rPr>
              <w:t>roadcast Service (MFB)</w:t>
            </w:r>
          </w:p>
        </w:tc>
        <w:tc>
          <w:tcPr>
            <w:tcW w:w="960" w:type="dxa"/>
            <w:shd w:val="clear" w:color="auto" w:fill="auto"/>
            <w:tcMar>
              <w:left w:w="23" w:type="dxa"/>
            </w:tcMar>
            <w:vAlign w:val="center"/>
          </w:tcPr>
          <w:p w:rsidR="006904E2" w:rsidRDefault="006904E2">
            <w:pPr>
              <w:pStyle w:val="BodyText"/>
              <w:jc w:val="center"/>
              <w:rPr>
                <w:rFonts w:asciiTheme="minorHAnsi" w:hAnsiTheme="minorHAnsi"/>
                <w:sz w:val="20"/>
                <w:szCs w:val="20"/>
              </w:rPr>
            </w:pPr>
          </w:p>
        </w:tc>
        <w:tc>
          <w:tcPr>
            <w:tcW w:w="1921" w:type="dxa"/>
            <w:shd w:val="clear" w:color="auto" w:fill="auto"/>
            <w:tcMar>
              <w:left w:w="23" w:type="dxa"/>
            </w:tcMar>
          </w:tcPr>
          <w:p w:rsidR="006904E2" w:rsidRDefault="00010018">
            <w:pPr>
              <w:pStyle w:val="BodyText"/>
              <w:jc w:val="center"/>
            </w:pPr>
            <w:r>
              <w:rPr>
                <w:rFonts w:asciiTheme="minorHAnsi" w:hAnsiTheme="minorHAnsi"/>
                <w:sz w:val="20"/>
                <w:szCs w:val="20"/>
              </w:rPr>
              <w:t>IALA Guideline 1114, chapter 3</w:t>
            </w:r>
          </w:p>
        </w:tc>
        <w:tc>
          <w:tcPr>
            <w:tcW w:w="975" w:type="dxa"/>
            <w:shd w:val="clear" w:color="auto" w:fill="auto"/>
            <w:tcMar>
              <w:left w:w="23" w:type="dxa"/>
            </w:tcMar>
          </w:tcPr>
          <w:p w:rsidR="006904E2" w:rsidRDefault="006904E2">
            <w:pPr>
              <w:pStyle w:val="BodyText"/>
              <w:jc w:val="center"/>
              <w:rPr>
                <w:rFonts w:asciiTheme="minorHAnsi" w:hAnsiTheme="minorHAnsi"/>
                <w:sz w:val="20"/>
                <w:szCs w:val="20"/>
              </w:rPr>
            </w:pPr>
          </w:p>
        </w:tc>
        <w:tc>
          <w:tcPr>
            <w:tcW w:w="4365" w:type="dxa"/>
            <w:shd w:val="clear" w:color="auto" w:fill="auto"/>
            <w:tcMar>
              <w:left w:w="23" w:type="dxa"/>
            </w:tcMar>
          </w:tcPr>
          <w:p w:rsidR="006904E2" w:rsidRDefault="00010018">
            <w:pPr>
              <w:pStyle w:val="BodyText"/>
              <w:spacing w:after="0"/>
            </w:pPr>
            <w:r>
              <w:rPr>
                <w:rFonts w:asciiTheme="minorHAnsi" w:hAnsiTheme="minorHAnsi"/>
                <w:sz w:val="20"/>
                <w:szCs w:val="20"/>
              </w:rPr>
              <w:t xml:space="preserve">In the context of the Common Shore-based System Architecture (CSSA), the </w:t>
            </w:r>
            <w:r>
              <w:rPr>
                <w:rFonts w:asciiTheme="minorHAnsi" w:hAnsiTheme="minorHAnsi"/>
                <w:sz w:val="20"/>
                <w:szCs w:val="20"/>
                <w:u w:val="single"/>
              </w:rPr>
              <w:t>M</w:t>
            </w:r>
            <w:r>
              <w:rPr>
                <w:rFonts w:asciiTheme="minorHAnsi" w:hAnsiTheme="minorHAnsi"/>
                <w:sz w:val="20"/>
                <w:szCs w:val="20"/>
              </w:rPr>
              <w:t xml:space="preserve">edium </w:t>
            </w:r>
            <w:r>
              <w:rPr>
                <w:rFonts w:asciiTheme="minorHAnsi" w:hAnsiTheme="minorHAnsi"/>
                <w:sz w:val="20"/>
                <w:szCs w:val="20"/>
                <w:u w:val="single"/>
              </w:rPr>
              <w:t>F</w:t>
            </w:r>
            <w:r>
              <w:rPr>
                <w:rFonts w:asciiTheme="minorHAnsi" w:hAnsiTheme="minorHAnsi"/>
                <w:sz w:val="20"/>
                <w:szCs w:val="20"/>
              </w:rPr>
              <w:t xml:space="preserve">requency </w:t>
            </w:r>
            <w:r>
              <w:rPr>
                <w:rFonts w:asciiTheme="minorHAnsi" w:hAnsiTheme="minorHAnsi"/>
                <w:sz w:val="20"/>
                <w:szCs w:val="20"/>
                <w:u w:val="single"/>
              </w:rPr>
              <w:t>B</w:t>
            </w:r>
            <w:r>
              <w:rPr>
                <w:rFonts w:asciiTheme="minorHAnsi" w:hAnsiTheme="minorHAnsi"/>
                <w:sz w:val="20"/>
                <w:szCs w:val="20"/>
              </w:rPr>
              <w:t xml:space="preserve">roadcast Service (MFB) </w:t>
            </w:r>
            <w:proofErr w:type="gramStart"/>
            <w:r>
              <w:rPr>
                <w:rFonts w:asciiTheme="minorHAnsi" w:hAnsiTheme="minorHAnsi"/>
                <w:sz w:val="20"/>
                <w:szCs w:val="20"/>
              </w:rPr>
              <w:t>transmits  RTCM</w:t>
            </w:r>
            <w:proofErr w:type="gramEnd"/>
            <w:r>
              <w:rPr>
                <w:rFonts w:asciiTheme="minorHAnsi" w:hAnsiTheme="minorHAnsi"/>
                <w:sz w:val="20"/>
                <w:szCs w:val="20"/>
              </w:rPr>
              <w:t xml:space="preserve">  104 standard encoded data using medium frequency bands around 300 kHz (radiobeacon  band).</w:t>
            </w:r>
          </w:p>
        </w:tc>
        <w:tc>
          <w:tcPr>
            <w:tcW w:w="1081" w:type="dxa"/>
            <w:shd w:val="clear" w:color="auto" w:fill="auto"/>
            <w:tcMar>
              <w:left w:w="23" w:type="dxa"/>
            </w:tcMar>
          </w:tcPr>
          <w:p w:rsidR="006904E2" w:rsidRDefault="006904E2">
            <w:pPr>
              <w:pStyle w:val="BodyText"/>
              <w:jc w:val="left"/>
              <w:rPr>
                <w:rFonts w:asciiTheme="minorHAnsi" w:hAnsiTheme="minorHAnsi"/>
                <w:sz w:val="20"/>
                <w:szCs w:val="20"/>
              </w:rPr>
            </w:pPr>
          </w:p>
        </w:tc>
        <w:tc>
          <w:tcPr>
            <w:tcW w:w="1125" w:type="dxa"/>
            <w:shd w:val="clear" w:color="auto" w:fill="auto"/>
            <w:tcMar>
              <w:left w:w="23" w:type="dxa"/>
            </w:tcMar>
            <w:vAlign w:val="center"/>
          </w:tcPr>
          <w:p w:rsidR="006904E2" w:rsidRDefault="006904E2">
            <w:pPr>
              <w:pStyle w:val="BodyText"/>
              <w:jc w:val="left"/>
              <w:rPr>
                <w:rFonts w:asciiTheme="minorHAnsi" w:hAnsiTheme="minorHAnsi"/>
                <w:sz w:val="20"/>
                <w:szCs w:val="20"/>
              </w:rPr>
            </w:pPr>
          </w:p>
        </w:tc>
        <w:tc>
          <w:tcPr>
            <w:tcW w:w="997" w:type="dxa"/>
            <w:shd w:val="clear" w:color="auto" w:fill="auto"/>
            <w:tcMar>
              <w:left w:w="23" w:type="dxa"/>
            </w:tcMar>
          </w:tcPr>
          <w:p w:rsidR="006904E2" w:rsidRDefault="00010018">
            <w:pPr>
              <w:pStyle w:val="BodyText"/>
              <w:jc w:val="left"/>
              <w:rPr>
                <w:rFonts w:asciiTheme="minorHAnsi" w:hAnsiTheme="minorHAnsi"/>
                <w:sz w:val="20"/>
                <w:szCs w:val="20"/>
              </w:rPr>
            </w:pPr>
            <w:r>
              <w:rPr>
                <w:rFonts w:ascii="Calibri" w:hAnsi="Calibri"/>
                <w:sz w:val="20"/>
                <w:szCs w:val="20"/>
              </w:rPr>
              <w:t xml:space="preserve">New term </w:t>
            </w:r>
          </w:p>
        </w:tc>
        <w:tc>
          <w:tcPr>
            <w:tcW w:w="1072" w:type="dxa"/>
            <w:shd w:val="clear" w:color="auto" w:fill="auto"/>
            <w:tcMar>
              <w:left w:w="23" w:type="dxa"/>
            </w:tcMar>
          </w:tcPr>
          <w:p w:rsidR="006904E2" w:rsidRDefault="00010018">
            <w:pPr>
              <w:pStyle w:val="BodyText"/>
              <w:jc w:val="left"/>
              <w:rPr>
                <w:rFonts w:asciiTheme="minorHAnsi" w:hAnsiTheme="minorHAnsi"/>
                <w:sz w:val="20"/>
                <w:szCs w:val="20"/>
              </w:rPr>
            </w:pPr>
            <w:r>
              <w:rPr>
                <w:rFonts w:ascii="Calibri" w:hAnsi="Calibri"/>
                <w:sz w:val="20"/>
                <w:szCs w:val="20"/>
              </w:rPr>
              <w:t>May 2015</w:t>
            </w:r>
          </w:p>
        </w:tc>
        <w:tc>
          <w:tcPr>
            <w:tcW w:w="924" w:type="dxa"/>
            <w:shd w:val="clear" w:color="auto" w:fill="auto"/>
            <w:tcMar>
              <w:left w:w="23" w:type="dxa"/>
            </w:tcMar>
          </w:tcPr>
          <w:p w:rsidR="006904E2" w:rsidRDefault="00010018">
            <w:pPr>
              <w:pStyle w:val="BodyText"/>
              <w:rPr>
                <w:rFonts w:asciiTheme="minorHAnsi" w:hAnsiTheme="minorHAnsi"/>
                <w:sz w:val="20"/>
                <w:szCs w:val="20"/>
              </w:rPr>
            </w:pPr>
            <w:r>
              <w:rPr>
                <w:rFonts w:ascii="Calibri" w:hAnsi="Calibri"/>
                <w:sz w:val="20"/>
                <w:szCs w:val="20"/>
              </w:rPr>
              <w:t>IALA Council approved</w:t>
            </w:r>
          </w:p>
        </w:tc>
      </w:tr>
      <w:tr w:rsidR="006904E2">
        <w:tc>
          <w:tcPr>
            <w:tcW w:w="1364" w:type="dxa"/>
            <w:tcBorders>
              <w:top w:val="nil"/>
            </w:tcBorders>
            <w:shd w:val="clear" w:color="auto" w:fill="auto"/>
            <w:tcMar>
              <w:left w:w="23" w:type="dxa"/>
            </w:tcMar>
          </w:tcPr>
          <w:p w:rsidR="006904E2" w:rsidRDefault="00010018">
            <w:pPr>
              <w:pStyle w:val="BodyText"/>
              <w:spacing w:after="0"/>
              <w:rPr>
                <w:rFonts w:asciiTheme="minorHAnsi" w:hAnsiTheme="minorHAnsi"/>
                <w:sz w:val="20"/>
                <w:szCs w:val="20"/>
              </w:rPr>
            </w:pPr>
            <w:r>
              <w:rPr>
                <w:rFonts w:asciiTheme="minorHAnsi" w:hAnsiTheme="minorHAnsi"/>
                <w:sz w:val="20"/>
                <w:szCs w:val="20"/>
              </w:rPr>
              <w:t>D-Mode</w:t>
            </w:r>
          </w:p>
        </w:tc>
        <w:tc>
          <w:tcPr>
            <w:tcW w:w="960" w:type="dxa"/>
            <w:tcBorders>
              <w:top w:val="nil"/>
            </w:tcBorders>
            <w:shd w:val="clear" w:color="auto" w:fill="auto"/>
            <w:tcMar>
              <w:left w:w="23" w:type="dxa"/>
            </w:tcMar>
            <w:vAlign w:val="center"/>
          </w:tcPr>
          <w:p w:rsidR="006904E2" w:rsidRDefault="006904E2">
            <w:pPr>
              <w:pStyle w:val="BodyText"/>
              <w:jc w:val="center"/>
              <w:rPr>
                <w:rFonts w:asciiTheme="minorHAnsi" w:hAnsiTheme="minorHAnsi"/>
                <w:sz w:val="20"/>
                <w:szCs w:val="20"/>
              </w:rPr>
            </w:pPr>
          </w:p>
        </w:tc>
        <w:tc>
          <w:tcPr>
            <w:tcW w:w="1921" w:type="dxa"/>
            <w:tcBorders>
              <w:top w:val="nil"/>
            </w:tcBorders>
            <w:shd w:val="clear" w:color="auto" w:fill="auto"/>
            <w:tcMar>
              <w:left w:w="23" w:type="dxa"/>
            </w:tcMar>
          </w:tcPr>
          <w:p w:rsidR="006904E2" w:rsidRDefault="00010018">
            <w:pPr>
              <w:pStyle w:val="BodyText"/>
              <w:jc w:val="center"/>
            </w:pPr>
            <w:r>
              <w:rPr>
                <w:rFonts w:asciiTheme="minorHAnsi" w:hAnsiTheme="minorHAnsi"/>
                <w:sz w:val="20"/>
                <w:szCs w:val="20"/>
              </w:rPr>
              <w:t>IALA Guideline 1114, chapter 3</w:t>
            </w:r>
          </w:p>
        </w:tc>
        <w:tc>
          <w:tcPr>
            <w:tcW w:w="975" w:type="dxa"/>
            <w:tcBorders>
              <w:top w:val="nil"/>
            </w:tcBorders>
            <w:shd w:val="clear" w:color="auto" w:fill="auto"/>
            <w:tcMar>
              <w:left w:w="23" w:type="dxa"/>
            </w:tcMar>
          </w:tcPr>
          <w:p w:rsidR="006904E2" w:rsidRDefault="006904E2">
            <w:pPr>
              <w:pStyle w:val="BodyText"/>
              <w:jc w:val="center"/>
            </w:pPr>
          </w:p>
        </w:tc>
        <w:tc>
          <w:tcPr>
            <w:tcW w:w="4365" w:type="dxa"/>
            <w:tcBorders>
              <w:top w:val="nil"/>
            </w:tcBorders>
            <w:shd w:val="clear" w:color="auto" w:fill="auto"/>
            <w:tcMar>
              <w:left w:w="23" w:type="dxa"/>
            </w:tcMar>
          </w:tcPr>
          <w:p w:rsidR="006904E2" w:rsidRDefault="00010018">
            <w:pPr>
              <w:pStyle w:val="BodyText"/>
              <w:spacing w:after="0"/>
            </w:pPr>
            <w:r>
              <w:rPr>
                <w:rFonts w:asciiTheme="minorHAnsi" w:hAnsiTheme="minorHAnsi"/>
                <w:sz w:val="20"/>
                <w:szCs w:val="20"/>
              </w:rPr>
              <w:t>The D-Mode designates the transmission of DGNSS augmentation data by a shore-based technical service.</w:t>
            </w:r>
          </w:p>
        </w:tc>
        <w:tc>
          <w:tcPr>
            <w:tcW w:w="1081" w:type="dxa"/>
            <w:tcBorders>
              <w:top w:val="nil"/>
            </w:tcBorders>
            <w:shd w:val="clear" w:color="auto" w:fill="auto"/>
            <w:tcMar>
              <w:left w:w="23" w:type="dxa"/>
            </w:tcMar>
          </w:tcPr>
          <w:p w:rsidR="006904E2" w:rsidRDefault="006904E2">
            <w:pPr>
              <w:pStyle w:val="BodyText"/>
              <w:jc w:val="left"/>
              <w:rPr>
                <w:rFonts w:asciiTheme="minorHAnsi" w:hAnsiTheme="minorHAnsi"/>
                <w:sz w:val="20"/>
                <w:szCs w:val="20"/>
              </w:rPr>
            </w:pPr>
          </w:p>
        </w:tc>
        <w:tc>
          <w:tcPr>
            <w:tcW w:w="1125" w:type="dxa"/>
            <w:tcBorders>
              <w:top w:val="nil"/>
            </w:tcBorders>
            <w:shd w:val="clear" w:color="auto" w:fill="auto"/>
            <w:tcMar>
              <w:left w:w="23" w:type="dxa"/>
            </w:tcMar>
            <w:vAlign w:val="center"/>
          </w:tcPr>
          <w:p w:rsidR="006904E2" w:rsidRDefault="006904E2">
            <w:pPr>
              <w:pStyle w:val="BodyText"/>
              <w:jc w:val="left"/>
              <w:rPr>
                <w:rFonts w:asciiTheme="minorHAnsi" w:hAnsiTheme="minorHAnsi"/>
                <w:sz w:val="20"/>
                <w:szCs w:val="20"/>
              </w:rPr>
            </w:pPr>
          </w:p>
        </w:tc>
        <w:tc>
          <w:tcPr>
            <w:tcW w:w="997" w:type="dxa"/>
            <w:tcBorders>
              <w:top w:val="nil"/>
            </w:tcBorders>
            <w:shd w:val="clear" w:color="auto" w:fill="auto"/>
            <w:tcMar>
              <w:left w:w="23" w:type="dxa"/>
            </w:tcMar>
          </w:tcPr>
          <w:p w:rsidR="006904E2" w:rsidRDefault="00010018">
            <w:pPr>
              <w:pStyle w:val="BodyText"/>
              <w:jc w:val="left"/>
              <w:rPr>
                <w:rFonts w:asciiTheme="minorHAnsi" w:hAnsiTheme="minorHAnsi"/>
                <w:sz w:val="20"/>
                <w:szCs w:val="20"/>
              </w:rPr>
            </w:pPr>
            <w:r>
              <w:rPr>
                <w:rFonts w:ascii="Calibri" w:hAnsi="Calibri"/>
                <w:sz w:val="20"/>
                <w:szCs w:val="20"/>
              </w:rPr>
              <w:t xml:space="preserve">New term </w:t>
            </w:r>
          </w:p>
        </w:tc>
        <w:tc>
          <w:tcPr>
            <w:tcW w:w="1072" w:type="dxa"/>
            <w:tcBorders>
              <w:top w:val="nil"/>
            </w:tcBorders>
            <w:shd w:val="clear" w:color="auto" w:fill="auto"/>
            <w:tcMar>
              <w:left w:w="23" w:type="dxa"/>
            </w:tcMar>
          </w:tcPr>
          <w:p w:rsidR="006904E2" w:rsidRDefault="00010018">
            <w:pPr>
              <w:pStyle w:val="BodyText"/>
              <w:jc w:val="left"/>
              <w:rPr>
                <w:rFonts w:asciiTheme="minorHAnsi" w:hAnsiTheme="minorHAnsi"/>
                <w:sz w:val="20"/>
                <w:szCs w:val="20"/>
              </w:rPr>
            </w:pPr>
            <w:r>
              <w:rPr>
                <w:rFonts w:ascii="Calibri" w:hAnsi="Calibri"/>
                <w:sz w:val="20"/>
                <w:szCs w:val="20"/>
              </w:rPr>
              <w:t>May 2015</w:t>
            </w:r>
          </w:p>
        </w:tc>
        <w:tc>
          <w:tcPr>
            <w:tcW w:w="924" w:type="dxa"/>
            <w:tcBorders>
              <w:top w:val="nil"/>
            </w:tcBorders>
            <w:shd w:val="clear" w:color="auto" w:fill="auto"/>
            <w:tcMar>
              <w:left w:w="23" w:type="dxa"/>
            </w:tcMar>
          </w:tcPr>
          <w:p w:rsidR="006904E2" w:rsidRDefault="00010018">
            <w:pPr>
              <w:pStyle w:val="BodyText"/>
              <w:rPr>
                <w:rFonts w:asciiTheme="minorHAnsi" w:hAnsiTheme="minorHAnsi"/>
                <w:sz w:val="20"/>
                <w:szCs w:val="20"/>
              </w:rPr>
            </w:pPr>
            <w:r>
              <w:rPr>
                <w:rFonts w:ascii="Calibri" w:hAnsi="Calibri"/>
                <w:sz w:val="20"/>
                <w:szCs w:val="20"/>
              </w:rPr>
              <w:t>IALA Council approved</w:t>
            </w:r>
          </w:p>
        </w:tc>
      </w:tr>
      <w:tr w:rsidR="006904E2">
        <w:tc>
          <w:tcPr>
            <w:tcW w:w="1364" w:type="dxa"/>
            <w:tcBorders>
              <w:top w:val="nil"/>
            </w:tcBorders>
            <w:shd w:val="clear" w:color="auto" w:fill="auto"/>
            <w:tcMar>
              <w:left w:w="23" w:type="dxa"/>
            </w:tcMar>
          </w:tcPr>
          <w:p w:rsidR="006904E2" w:rsidRDefault="00010018">
            <w:pPr>
              <w:pStyle w:val="BodyText"/>
              <w:spacing w:after="0"/>
              <w:rPr>
                <w:rFonts w:asciiTheme="minorHAnsi" w:hAnsiTheme="minorHAnsi"/>
                <w:sz w:val="20"/>
                <w:szCs w:val="20"/>
              </w:rPr>
            </w:pPr>
            <w:r>
              <w:rPr>
                <w:rFonts w:asciiTheme="minorHAnsi" w:hAnsiTheme="minorHAnsi"/>
                <w:sz w:val="20"/>
                <w:szCs w:val="20"/>
              </w:rPr>
              <w:t>R-Mode</w:t>
            </w:r>
          </w:p>
        </w:tc>
        <w:tc>
          <w:tcPr>
            <w:tcW w:w="960" w:type="dxa"/>
            <w:tcBorders>
              <w:top w:val="nil"/>
            </w:tcBorders>
            <w:shd w:val="clear" w:color="auto" w:fill="auto"/>
            <w:tcMar>
              <w:left w:w="23" w:type="dxa"/>
            </w:tcMar>
            <w:vAlign w:val="center"/>
          </w:tcPr>
          <w:p w:rsidR="006904E2" w:rsidRDefault="006904E2">
            <w:pPr>
              <w:pStyle w:val="BodyText"/>
              <w:jc w:val="center"/>
              <w:rPr>
                <w:rFonts w:asciiTheme="minorHAnsi" w:hAnsiTheme="minorHAnsi"/>
                <w:sz w:val="20"/>
                <w:szCs w:val="20"/>
              </w:rPr>
            </w:pPr>
          </w:p>
        </w:tc>
        <w:tc>
          <w:tcPr>
            <w:tcW w:w="1921" w:type="dxa"/>
            <w:tcBorders>
              <w:top w:val="nil"/>
            </w:tcBorders>
            <w:shd w:val="clear" w:color="auto" w:fill="auto"/>
            <w:tcMar>
              <w:left w:w="23" w:type="dxa"/>
            </w:tcMar>
          </w:tcPr>
          <w:p w:rsidR="006904E2" w:rsidRDefault="00010018">
            <w:pPr>
              <w:pStyle w:val="BodyText"/>
              <w:jc w:val="center"/>
            </w:pPr>
            <w:r>
              <w:rPr>
                <w:rFonts w:asciiTheme="minorHAnsi" w:hAnsiTheme="minorHAnsi"/>
                <w:sz w:val="20"/>
                <w:szCs w:val="20"/>
              </w:rPr>
              <w:t>IALA Guideline 1114, chapter 3</w:t>
            </w:r>
          </w:p>
        </w:tc>
        <w:tc>
          <w:tcPr>
            <w:tcW w:w="975" w:type="dxa"/>
            <w:tcBorders>
              <w:top w:val="nil"/>
            </w:tcBorders>
            <w:shd w:val="clear" w:color="auto" w:fill="auto"/>
            <w:tcMar>
              <w:left w:w="23" w:type="dxa"/>
            </w:tcMar>
          </w:tcPr>
          <w:p w:rsidR="006904E2" w:rsidRDefault="006904E2">
            <w:pPr>
              <w:pStyle w:val="BodyText"/>
              <w:jc w:val="center"/>
            </w:pPr>
          </w:p>
        </w:tc>
        <w:tc>
          <w:tcPr>
            <w:tcW w:w="4365" w:type="dxa"/>
            <w:tcBorders>
              <w:top w:val="nil"/>
            </w:tcBorders>
            <w:shd w:val="clear" w:color="auto" w:fill="auto"/>
            <w:tcMar>
              <w:left w:w="23" w:type="dxa"/>
            </w:tcMar>
          </w:tcPr>
          <w:p w:rsidR="006904E2" w:rsidRDefault="00010018">
            <w:pPr>
              <w:pStyle w:val="BodyText"/>
              <w:spacing w:after="0"/>
            </w:pPr>
            <w:r>
              <w:rPr>
                <w:rFonts w:asciiTheme="minorHAnsi" w:hAnsiTheme="minorHAnsi"/>
                <w:sz w:val="20"/>
                <w:szCs w:val="20"/>
              </w:rPr>
              <w:t>The R-Mode designates the transmission by a shore-based technical service that include a precise timing signal that would allow appropriately equipped shipboard receivers to determine the range to the transmission sites for ranging which in turn would be a contribution to create a position fix based on the terrestrial Signals-of-Opportunities (</w:t>
            </w:r>
            <w:proofErr w:type="spellStart"/>
            <w:r>
              <w:rPr>
                <w:rFonts w:asciiTheme="minorHAnsi" w:hAnsiTheme="minorHAnsi"/>
                <w:sz w:val="20"/>
                <w:szCs w:val="20"/>
              </w:rPr>
              <w:t>SoOP</w:t>
            </w:r>
            <w:proofErr w:type="spellEnd"/>
            <w:r>
              <w:rPr>
                <w:rFonts w:asciiTheme="minorHAnsi" w:hAnsiTheme="minorHAnsi"/>
                <w:sz w:val="20"/>
                <w:szCs w:val="20"/>
              </w:rPr>
              <w:t xml:space="preserve">) approach. </w:t>
            </w:r>
          </w:p>
        </w:tc>
        <w:tc>
          <w:tcPr>
            <w:tcW w:w="1081" w:type="dxa"/>
            <w:tcBorders>
              <w:top w:val="nil"/>
            </w:tcBorders>
            <w:shd w:val="clear" w:color="auto" w:fill="auto"/>
            <w:tcMar>
              <w:left w:w="23" w:type="dxa"/>
            </w:tcMar>
          </w:tcPr>
          <w:p w:rsidR="006904E2" w:rsidRDefault="006904E2">
            <w:pPr>
              <w:pStyle w:val="BodyText"/>
              <w:jc w:val="left"/>
              <w:rPr>
                <w:rFonts w:asciiTheme="minorHAnsi" w:hAnsiTheme="minorHAnsi"/>
                <w:sz w:val="20"/>
                <w:szCs w:val="20"/>
              </w:rPr>
            </w:pPr>
          </w:p>
        </w:tc>
        <w:tc>
          <w:tcPr>
            <w:tcW w:w="1125" w:type="dxa"/>
            <w:tcBorders>
              <w:top w:val="nil"/>
            </w:tcBorders>
            <w:shd w:val="clear" w:color="auto" w:fill="auto"/>
            <w:tcMar>
              <w:left w:w="23" w:type="dxa"/>
            </w:tcMar>
            <w:vAlign w:val="center"/>
          </w:tcPr>
          <w:p w:rsidR="006904E2" w:rsidRDefault="006904E2">
            <w:pPr>
              <w:pStyle w:val="BodyText"/>
              <w:jc w:val="left"/>
              <w:rPr>
                <w:rFonts w:asciiTheme="minorHAnsi" w:hAnsiTheme="minorHAnsi"/>
                <w:sz w:val="20"/>
                <w:szCs w:val="20"/>
              </w:rPr>
            </w:pPr>
          </w:p>
        </w:tc>
        <w:tc>
          <w:tcPr>
            <w:tcW w:w="997" w:type="dxa"/>
            <w:tcBorders>
              <w:top w:val="nil"/>
            </w:tcBorders>
            <w:shd w:val="clear" w:color="auto" w:fill="auto"/>
            <w:tcMar>
              <w:left w:w="23" w:type="dxa"/>
            </w:tcMar>
          </w:tcPr>
          <w:p w:rsidR="006904E2" w:rsidRDefault="00010018">
            <w:pPr>
              <w:pStyle w:val="BodyText"/>
              <w:jc w:val="left"/>
              <w:rPr>
                <w:rFonts w:asciiTheme="minorHAnsi" w:hAnsiTheme="minorHAnsi"/>
                <w:sz w:val="20"/>
                <w:szCs w:val="20"/>
              </w:rPr>
            </w:pPr>
            <w:r>
              <w:rPr>
                <w:rFonts w:ascii="Calibri" w:hAnsi="Calibri"/>
                <w:sz w:val="20"/>
                <w:szCs w:val="20"/>
              </w:rPr>
              <w:t xml:space="preserve">New term </w:t>
            </w:r>
          </w:p>
        </w:tc>
        <w:tc>
          <w:tcPr>
            <w:tcW w:w="1072" w:type="dxa"/>
            <w:tcBorders>
              <w:top w:val="nil"/>
            </w:tcBorders>
            <w:shd w:val="clear" w:color="auto" w:fill="auto"/>
            <w:tcMar>
              <w:left w:w="23" w:type="dxa"/>
            </w:tcMar>
          </w:tcPr>
          <w:p w:rsidR="006904E2" w:rsidRDefault="00010018">
            <w:pPr>
              <w:pStyle w:val="BodyText"/>
              <w:jc w:val="left"/>
              <w:rPr>
                <w:rFonts w:asciiTheme="minorHAnsi" w:hAnsiTheme="minorHAnsi"/>
                <w:sz w:val="20"/>
                <w:szCs w:val="20"/>
              </w:rPr>
            </w:pPr>
            <w:r>
              <w:rPr>
                <w:rFonts w:ascii="Calibri" w:hAnsi="Calibri"/>
                <w:sz w:val="20"/>
                <w:szCs w:val="20"/>
              </w:rPr>
              <w:t>May 2015</w:t>
            </w:r>
          </w:p>
        </w:tc>
        <w:tc>
          <w:tcPr>
            <w:tcW w:w="924" w:type="dxa"/>
            <w:tcBorders>
              <w:top w:val="nil"/>
            </w:tcBorders>
            <w:shd w:val="clear" w:color="auto" w:fill="auto"/>
            <w:tcMar>
              <w:left w:w="23" w:type="dxa"/>
            </w:tcMar>
          </w:tcPr>
          <w:p w:rsidR="006904E2" w:rsidRDefault="00010018">
            <w:pPr>
              <w:pStyle w:val="BodyText"/>
              <w:rPr>
                <w:rFonts w:asciiTheme="minorHAnsi" w:hAnsiTheme="minorHAnsi"/>
                <w:sz w:val="20"/>
                <w:szCs w:val="20"/>
              </w:rPr>
            </w:pPr>
            <w:r>
              <w:rPr>
                <w:rFonts w:ascii="Calibri" w:hAnsi="Calibri"/>
                <w:sz w:val="20"/>
                <w:szCs w:val="20"/>
              </w:rPr>
              <w:t>IALA Council approved</w:t>
            </w:r>
          </w:p>
        </w:tc>
      </w:tr>
      <w:tr w:rsidR="006904E2">
        <w:tc>
          <w:tcPr>
            <w:tcW w:w="1364" w:type="dxa"/>
            <w:tcBorders>
              <w:top w:val="nil"/>
            </w:tcBorders>
            <w:shd w:val="clear" w:color="auto" w:fill="auto"/>
            <w:tcMar>
              <w:left w:w="23" w:type="dxa"/>
            </w:tcMar>
          </w:tcPr>
          <w:p w:rsidR="006904E2" w:rsidRDefault="00010018">
            <w:pPr>
              <w:pStyle w:val="BodyText"/>
              <w:spacing w:after="0"/>
              <w:rPr>
                <w:rFonts w:asciiTheme="minorHAnsi" w:hAnsiTheme="minorHAnsi"/>
                <w:sz w:val="20"/>
                <w:szCs w:val="20"/>
              </w:rPr>
            </w:pPr>
            <w:r>
              <w:rPr>
                <w:rFonts w:asciiTheme="minorHAnsi" w:hAnsiTheme="minorHAnsi"/>
                <w:sz w:val="20"/>
                <w:szCs w:val="20"/>
              </w:rPr>
              <w:t>T-Mode</w:t>
            </w:r>
          </w:p>
        </w:tc>
        <w:tc>
          <w:tcPr>
            <w:tcW w:w="960" w:type="dxa"/>
            <w:tcBorders>
              <w:top w:val="nil"/>
            </w:tcBorders>
            <w:shd w:val="clear" w:color="auto" w:fill="auto"/>
            <w:tcMar>
              <w:left w:w="23" w:type="dxa"/>
            </w:tcMar>
            <w:vAlign w:val="center"/>
          </w:tcPr>
          <w:p w:rsidR="006904E2" w:rsidRDefault="006904E2">
            <w:pPr>
              <w:pStyle w:val="BodyText"/>
              <w:jc w:val="center"/>
              <w:rPr>
                <w:rFonts w:asciiTheme="minorHAnsi" w:hAnsiTheme="minorHAnsi"/>
                <w:sz w:val="20"/>
                <w:szCs w:val="20"/>
              </w:rPr>
            </w:pPr>
          </w:p>
        </w:tc>
        <w:tc>
          <w:tcPr>
            <w:tcW w:w="1921" w:type="dxa"/>
            <w:tcBorders>
              <w:top w:val="nil"/>
            </w:tcBorders>
            <w:shd w:val="clear" w:color="auto" w:fill="auto"/>
            <w:tcMar>
              <w:left w:w="23" w:type="dxa"/>
            </w:tcMar>
          </w:tcPr>
          <w:p w:rsidR="006904E2" w:rsidRDefault="00010018">
            <w:pPr>
              <w:pStyle w:val="BodyText"/>
              <w:jc w:val="center"/>
            </w:pPr>
            <w:r>
              <w:rPr>
                <w:rFonts w:asciiTheme="minorHAnsi" w:hAnsiTheme="minorHAnsi"/>
                <w:sz w:val="20"/>
                <w:szCs w:val="20"/>
              </w:rPr>
              <w:t>IALA Guideline 1114, chapter 3</w:t>
            </w:r>
          </w:p>
        </w:tc>
        <w:tc>
          <w:tcPr>
            <w:tcW w:w="975" w:type="dxa"/>
            <w:tcBorders>
              <w:top w:val="nil"/>
            </w:tcBorders>
            <w:shd w:val="clear" w:color="auto" w:fill="auto"/>
            <w:tcMar>
              <w:left w:w="23" w:type="dxa"/>
            </w:tcMar>
          </w:tcPr>
          <w:p w:rsidR="006904E2" w:rsidRDefault="006904E2">
            <w:pPr>
              <w:pStyle w:val="BodyText"/>
              <w:jc w:val="center"/>
            </w:pPr>
          </w:p>
        </w:tc>
        <w:tc>
          <w:tcPr>
            <w:tcW w:w="4365" w:type="dxa"/>
            <w:tcBorders>
              <w:top w:val="nil"/>
            </w:tcBorders>
            <w:shd w:val="clear" w:color="auto" w:fill="auto"/>
            <w:tcMar>
              <w:left w:w="23" w:type="dxa"/>
            </w:tcMar>
          </w:tcPr>
          <w:p w:rsidR="006904E2" w:rsidRDefault="00010018">
            <w:pPr>
              <w:pStyle w:val="BodyText"/>
              <w:spacing w:after="0"/>
            </w:pPr>
            <w:r>
              <w:rPr>
                <w:rFonts w:asciiTheme="minorHAnsi" w:hAnsiTheme="minorHAnsi"/>
                <w:sz w:val="20"/>
                <w:szCs w:val="20"/>
              </w:rPr>
              <w:t xml:space="preserve">The T-Mode designates the transparent transmission of relevant data other than DGNSS augmentation data, see D-Mode, and precise timing for ranging, </w:t>
            </w:r>
            <w:proofErr w:type="gramStart"/>
            <w:r>
              <w:rPr>
                <w:rFonts w:asciiTheme="minorHAnsi" w:hAnsiTheme="minorHAnsi"/>
                <w:sz w:val="20"/>
                <w:szCs w:val="20"/>
              </w:rPr>
              <w:t>see</w:t>
            </w:r>
            <w:proofErr w:type="gramEnd"/>
            <w:r>
              <w:rPr>
                <w:rFonts w:asciiTheme="minorHAnsi" w:hAnsiTheme="minorHAnsi"/>
                <w:sz w:val="20"/>
                <w:szCs w:val="20"/>
              </w:rPr>
              <w:t xml:space="preserve"> R-Mode, by a shore-based technical service.</w:t>
            </w:r>
          </w:p>
        </w:tc>
        <w:tc>
          <w:tcPr>
            <w:tcW w:w="1081" w:type="dxa"/>
            <w:tcBorders>
              <w:top w:val="nil"/>
            </w:tcBorders>
            <w:shd w:val="clear" w:color="auto" w:fill="auto"/>
            <w:tcMar>
              <w:left w:w="23" w:type="dxa"/>
            </w:tcMar>
          </w:tcPr>
          <w:p w:rsidR="006904E2" w:rsidRDefault="006904E2">
            <w:pPr>
              <w:pStyle w:val="BodyText"/>
              <w:jc w:val="left"/>
              <w:rPr>
                <w:rFonts w:asciiTheme="minorHAnsi" w:hAnsiTheme="minorHAnsi"/>
                <w:sz w:val="20"/>
                <w:szCs w:val="20"/>
              </w:rPr>
            </w:pPr>
          </w:p>
        </w:tc>
        <w:tc>
          <w:tcPr>
            <w:tcW w:w="1125" w:type="dxa"/>
            <w:tcBorders>
              <w:top w:val="nil"/>
            </w:tcBorders>
            <w:shd w:val="clear" w:color="auto" w:fill="auto"/>
            <w:tcMar>
              <w:left w:w="23" w:type="dxa"/>
            </w:tcMar>
            <w:vAlign w:val="center"/>
          </w:tcPr>
          <w:p w:rsidR="006904E2" w:rsidRDefault="006904E2">
            <w:pPr>
              <w:pStyle w:val="BodyText"/>
              <w:jc w:val="left"/>
              <w:rPr>
                <w:rFonts w:asciiTheme="minorHAnsi" w:hAnsiTheme="minorHAnsi"/>
                <w:sz w:val="20"/>
                <w:szCs w:val="20"/>
              </w:rPr>
            </w:pPr>
          </w:p>
        </w:tc>
        <w:tc>
          <w:tcPr>
            <w:tcW w:w="997" w:type="dxa"/>
            <w:tcBorders>
              <w:top w:val="nil"/>
            </w:tcBorders>
            <w:shd w:val="clear" w:color="auto" w:fill="auto"/>
            <w:tcMar>
              <w:left w:w="23" w:type="dxa"/>
            </w:tcMar>
          </w:tcPr>
          <w:p w:rsidR="006904E2" w:rsidRDefault="00010018">
            <w:pPr>
              <w:pStyle w:val="BodyText"/>
              <w:jc w:val="left"/>
              <w:rPr>
                <w:rFonts w:asciiTheme="minorHAnsi" w:hAnsiTheme="minorHAnsi"/>
                <w:sz w:val="20"/>
                <w:szCs w:val="20"/>
              </w:rPr>
            </w:pPr>
            <w:r>
              <w:rPr>
                <w:rFonts w:ascii="Calibri" w:hAnsi="Calibri"/>
                <w:sz w:val="20"/>
                <w:szCs w:val="20"/>
              </w:rPr>
              <w:t xml:space="preserve">New term </w:t>
            </w:r>
          </w:p>
        </w:tc>
        <w:tc>
          <w:tcPr>
            <w:tcW w:w="1072" w:type="dxa"/>
            <w:tcBorders>
              <w:top w:val="nil"/>
            </w:tcBorders>
            <w:shd w:val="clear" w:color="auto" w:fill="auto"/>
            <w:tcMar>
              <w:left w:w="23" w:type="dxa"/>
            </w:tcMar>
          </w:tcPr>
          <w:p w:rsidR="006904E2" w:rsidRDefault="00010018">
            <w:pPr>
              <w:pStyle w:val="BodyText"/>
              <w:jc w:val="left"/>
              <w:rPr>
                <w:rFonts w:asciiTheme="minorHAnsi" w:hAnsiTheme="minorHAnsi"/>
                <w:sz w:val="20"/>
                <w:szCs w:val="20"/>
              </w:rPr>
            </w:pPr>
            <w:r>
              <w:rPr>
                <w:rFonts w:ascii="Calibri" w:hAnsi="Calibri"/>
                <w:sz w:val="20"/>
                <w:szCs w:val="20"/>
              </w:rPr>
              <w:t>May 2015</w:t>
            </w:r>
          </w:p>
        </w:tc>
        <w:tc>
          <w:tcPr>
            <w:tcW w:w="924" w:type="dxa"/>
            <w:tcBorders>
              <w:top w:val="nil"/>
            </w:tcBorders>
            <w:shd w:val="clear" w:color="auto" w:fill="auto"/>
            <w:tcMar>
              <w:left w:w="23" w:type="dxa"/>
            </w:tcMar>
          </w:tcPr>
          <w:p w:rsidR="006904E2" w:rsidRDefault="00010018">
            <w:pPr>
              <w:pStyle w:val="BodyText"/>
              <w:rPr>
                <w:rFonts w:asciiTheme="minorHAnsi" w:hAnsiTheme="minorHAnsi"/>
                <w:sz w:val="20"/>
                <w:szCs w:val="20"/>
              </w:rPr>
            </w:pPr>
            <w:r>
              <w:rPr>
                <w:rFonts w:ascii="Calibri" w:hAnsi="Calibri"/>
                <w:sz w:val="20"/>
                <w:szCs w:val="20"/>
              </w:rPr>
              <w:t>IALA Council approved</w:t>
            </w:r>
          </w:p>
        </w:tc>
      </w:tr>
      <w:tr w:rsidR="006904E2">
        <w:tc>
          <w:tcPr>
            <w:tcW w:w="1364" w:type="dxa"/>
            <w:shd w:val="clear" w:color="auto" w:fill="auto"/>
            <w:tcMar>
              <w:left w:w="23" w:type="dxa"/>
            </w:tcMar>
          </w:tcPr>
          <w:p w:rsidR="006904E2" w:rsidRDefault="00010018">
            <w:pPr>
              <w:pStyle w:val="BodyText"/>
              <w:rPr>
                <w:rFonts w:asciiTheme="minorHAnsi" w:hAnsiTheme="minorHAnsi"/>
                <w:sz w:val="20"/>
                <w:szCs w:val="20"/>
              </w:rPr>
            </w:pPr>
            <w:r>
              <w:rPr>
                <w:rFonts w:asciiTheme="minorHAnsi" w:hAnsiTheme="minorHAnsi"/>
                <w:sz w:val="20"/>
                <w:szCs w:val="20"/>
                <w:u w:val="single"/>
              </w:rPr>
              <w:t>VHF</w:t>
            </w:r>
            <w:r>
              <w:rPr>
                <w:rFonts w:asciiTheme="minorHAnsi" w:hAnsiTheme="minorHAnsi"/>
                <w:sz w:val="20"/>
                <w:szCs w:val="20"/>
              </w:rPr>
              <w:t xml:space="preserve"> Communication Service</w:t>
            </w:r>
          </w:p>
        </w:tc>
        <w:tc>
          <w:tcPr>
            <w:tcW w:w="960" w:type="dxa"/>
            <w:shd w:val="clear" w:color="auto" w:fill="auto"/>
            <w:tcMar>
              <w:left w:w="23" w:type="dxa"/>
            </w:tcMar>
            <w:vAlign w:val="center"/>
          </w:tcPr>
          <w:p w:rsidR="006904E2" w:rsidRDefault="006904E2">
            <w:pPr>
              <w:pStyle w:val="BodyText"/>
              <w:jc w:val="center"/>
              <w:rPr>
                <w:rFonts w:asciiTheme="minorHAnsi" w:hAnsiTheme="minorHAnsi"/>
                <w:sz w:val="20"/>
                <w:szCs w:val="20"/>
              </w:rPr>
            </w:pPr>
          </w:p>
        </w:tc>
        <w:tc>
          <w:tcPr>
            <w:tcW w:w="1921" w:type="dxa"/>
            <w:shd w:val="clear" w:color="auto" w:fill="auto"/>
            <w:tcMar>
              <w:left w:w="23" w:type="dxa"/>
            </w:tcMar>
          </w:tcPr>
          <w:p w:rsidR="006904E2" w:rsidRDefault="00010018">
            <w:pPr>
              <w:pStyle w:val="BodyText"/>
              <w:jc w:val="center"/>
            </w:pPr>
            <w:r>
              <w:rPr>
                <w:rFonts w:asciiTheme="minorHAnsi" w:hAnsiTheme="minorHAnsi"/>
                <w:sz w:val="20"/>
                <w:szCs w:val="20"/>
              </w:rPr>
              <w:t>IALA Guideline 1114, chapter 3</w:t>
            </w:r>
          </w:p>
        </w:tc>
        <w:tc>
          <w:tcPr>
            <w:tcW w:w="975" w:type="dxa"/>
            <w:shd w:val="clear" w:color="auto" w:fill="auto"/>
            <w:tcMar>
              <w:left w:w="23" w:type="dxa"/>
            </w:tcMar>
          </w:tcPr>
          <w:p w:rsidR="006904E2" w:rsidRDefault="006904E2">
            <w:pPr>
              <w:pStyle w:val="BodyText"/>
              <w:jc w:val="center"/>
              <w:rPr>
                <w:rFonts w:asciiTheme="minorHAnsi" w:hAnsiTheme="minorHAnsi"/>
                <w:sz w:val="20"/>
                <w:szCs w:val="20"/>
              </w:rPr>
            </w:pPr>
          </w:p>
        </w:tc>
        <w:tc>
          <w:tcPr>
            <w:tcW w:w="4365" w:type="dxa"/>
            <w:shd w:val="clear" w:color="auto" w:fill="auto"/>
            <w:tcMar>
              <w:left w:w="23" w:type="dxa"/>
            </w:tcMar>
          </w:tcPr>
          <w:p w:rsidR="006904E2" w:rsidRDefault="00010018">
            <w:pPr>
              <w:pStyle w:val="BodyText"/>
              <w:spacing w:after="0"/>
            </w:pPr>
            <w:r>
              <w:rPr>
                <w:rFonts w:asciiTheme="minorHAnsi" w:hAnsiTheme="minorHAnsi"/>
                <w:sz w:val="20"/>
                <w:szCs w:val="20"/>
              </w:rPr>
              <w:t xml:space="preserve">In the context of the Common Shore-based System Architecture (CSSA), </w:t>
            </w:r>
            <w:proofErr w:type="gramStart"/>
            <w:r>
              <w:rPr>
                <w:rFonts w:asciiTheme="minorHAnsi" w:hAnsiTheme="minorHAnsi"/>
                <w:sz w:val="20"/>
                <w:szCs w:val="20"/>
              </w:rPr>
              <w:t xml:space="preserve">the  </w:t>
            </w:r>
            <w:r>
              <w:rPr>
                <w:rFonts w:asciiTheme="minorHAnsi" w:hAnsiTheme="minorHAnsi"/>
                <w:sz w:val="20"/>
                <w:szCs w:val="20"/>
                <w:u w:val="single"/>
              </w:rPr>
              <w:t>VHF</w:t>
            </w:r>
            <w:proofErr w:type="gramEnd"/>
            <w:r>
              <w:rPr>
                <w:rFonts w:asciiTheme="minorHAnsi" w:hAnsiTheme="minorHAnsi"/>
                <w:sz w:val="20"/>
                <w:szCs w:val="20"/>
              </w:rPr>
              <w:t xml:space="preserve"> Communication Service (VHF) allows  for  shore-based  bidirectional voice communication with any mobile radio station operating in the VHF maritime mobile service band.</w:t>
            </w:r>
          </w:p>
        </w:tc>
        <w:tc>
          <w:tcPr>
            <w:tcW w:w="1081" w:type="dxa"/>
            <w:shd w:val="clear" w:color="auto" w:fill="auto"/>
            <w:tcMar>
              <w:left w:w="23" w:type="dxa"/>
            </w:tcMar>
          </w:tcPr>
          <w:p w:rsidR="006904E2" w:rsidRDefault="006904E2">
            <w:pPr>
              <w:pStyle w:val="BodyText"/>
              <w:jc w:val="left"/>
              <w:rPr>
                <w:rFonts w:asciiTheme="minorHAnsi" w:hAnsiTheme="minorHAnsi"/>
                <w:sz w:val="20"/>
                <w:szCs w:val="20"/>
              </w:rPr>
            </w:pPr>
          </w:p>
        </w:tc>
        <w:tc>
          <w:tcPr>
            <w:tcW w:w="1125" w:type="dxa"/>
            <w:shd w:val="clear" w:color="auto" w:fill="auto"/>
            <w:tcMar>
              <w:left w:w="23" w:type="dxa"/>
            </w:tcMar>
            <w:vAlign w:val="center"/>
          </w:tcPr>
          <w:p w:rsidR="006904E2" w:rsidRDefault="006904E2">
            <w:pPr>
              <w:pStyle w:val="BodyText"/>
              <w:jc w:val="left"/>
              <w:rPr>
                <w:rFonts w:asciiTheme="minorHAnsi" w:hAnsiTheme="minorHAnsi"/>
                <w:sz w:val="20"/>
                <w:szCs w:val="20"/>
              </w:rPr>
            </w:pPr>
          </w:p>
        </w:tc>
        <w:tc>
          <w:tcPr>
            <w:tcW w:w="997" w:type="dxa"/>
            <w:shd w:val="clear" w:color="auto" w:fill="auto"/>
            <w:tcMar>
              <w:left w:w="23" w:type="dxa"/>
            </w:tcMar>
          </w:tcPr>
          <w:p w:rsidR="006904E2" w:rsidRDefault="00010018">
            <w:pPr>
              <w:pStyle w:val="BodyText"/>
              <w:jc w:val="left"/>
              <w:rPr>
                <w:rFonts w:asciiTheme="minorHAnsi" w:hAnsiTheme="minorHAnsi"/>
                <w:sz w:val="20"/>
                <w:szCs w:val="20"/>
              </w:rPr>
            </w:pPr>
            <w:r>
              <w:rPr>
                <w:rFonts w:ascii="Calibri" w:hAnsi="Calibri"/>
                <w:sz w:val="20"/>
                <w:szCs w:val="20"/>
              </w:rPr>
              <w:t xml:space="preserve">New term </w:t>
            </w:r>
          </w:p>
        </w:tc>
        <w:tc>
          <w:tcPr>
            <w:tcW w:w="1072" w:type="dxa"/>
            <w:shd w:val="clear" w:color="auto" w:fill="auto"/>
            <w:tcMar>
              <w:left w:w="23" w:type="dxa"/>
            </w:tcMar>
          </w:tcPr>
          <w:p w:rsidR="006904E2" w:rsidRDefault="00010018">
            <w:pPr>
              <w:pStyle w:val="BodyText"/>
              <w:jc w:val="left"/>
              <w:rPr>
                <w:rFonts w:asciiTheme="minorHAnsi" w:hAnsiTheme="minorHAnsi"/>
                <w:sz w:val="20"/>
                <w:szCs w:val="20"/>
              </w:rPr>
            </w:pPr>
            <w:r>
              <w:rPr>
                <w:rFonts w:ascii="Calibri" w:hAnsi="Calibri"/>
                <w:sz w:val="20"/>
                <w:szCs w:val="20"/>
              </w:rPr>
              <w:t>May 2015</w:t>
            </w:r>
          </w:p>
        </w:tc>
        <w:tc>
          <w:tcPr>
            <w:tcW w:w="924" w:type="dxa"/>
            <w:shd w:val="clear" w:color="auto" w:fill="auto"/>
            <w:tcMar>
              <w:left w:w="23" w:type="dxa"/>
            </w:tcMar>
          </w:tcPr>
          <w:p w:rsidR="006904E2" w:rsidRDefault="00010018">
            <w:pPr>
              <w:pStyle w:val="BodyText"/>
              <w:rPr>
                <w:rFonts w:asciiTheme="minorHAnsi" w:hAnsiTheme="minorHAnsi"/>
                <w:sz w:val="20"/>
                <w:szCs w:val="20"/>
              </w:rPr>
            </w:pPr>
            <w:r>
              <w:rPr>
                <w:rFonts w:ascii="Calibri" w:hAnsi="Calibri"/>
                <w:sz w:val="20"/>
                <w:szCs w:val="20"/>
              </w:rPr>
              <w:t>IALA Council approved</w:t>
            </w:r>
          </w:p>
        </w:tc>
      </w:tr>
      <w:tr w:rsidR="006904E2">
        <w:tc>
          <w:tcPr>
            <w:tcW w:w="1364" w:type="dxa"/>
            <w:tcBorders>
              <w:top w:val="nil"/>
            </w:tcBorders>
            <w:shd w:val="clear" w:color="auto" w:fill="auto"/>
            <w:tcMar>
              <w:left w:w="23" w:type="dxa"/>
            </w:tcMar>
          </w:tcPr>
          <w:p w:rsidR="006904E2" w:rsidRDefault="00010018">
            <w:pPr>
              <w:pStyle w:val="BodyText"/>
              <w:spacing w:after="0"/>
              <w:rPr>
                <w:rFonts w:asciiTheme="minorHAnsi" w:hAnsiTheme="minorHAnsi"/>
                <w:sz w:val="20"/>
                <w:szCs w:val="20"/>
              </w:rPr>
            </w:pPr>
            <w:r>
              <w:rPr>
                <w:rFonts w:asciiTheme="minorHAnsi" w:hAnsiTheme="minorHAnsi"/>
                <w:sz w:val="20"/>
                <w:szCs w:val="20"/>
              </w:rPr>
              <w:t xml:space="preserve">GMDSS VHF </w:t>
            </w:r>
            <w:r>
              <w:rPr>
                <w:rFonts w:asciiTheme="minorHAnsi" w:hAnsiTheme="minorHAnsi"/>
                <w:sz w:val="20"/>
                <w:szCs w:val="20"/>
                <w:u w:val="single"/>
              </w:rPr>
              <w:t>DSC</w:t>
            </w:r>
            <w:r>
              <w:rPr>
                <w:rFonts w:asciiTheme="minorHAnsi" w:hAnsiTheme="minorHAnsi"/>
                <w:sz w:val="20"/>
                <w:szCs w:val="20"/>
              </w:rPr>
              <w:t xml:space="preserve"> Service (DSC)</w:t>
            </w:r>
          </w:p>
        </w:tc>
        <w:tc>
          <w:tcPr>
            <w:tcW w:w="960" w:type="dxa"/>
            <w:tcBorders>
              <w:top w:val="nil"/>
            </w:tcBorders>
            <w:shd w:val="clear" w:color="auto" w:fill="auto"/>
            <w:tcMar>
              <w:left w:w="23" w:type="dxa"/>
            </w:tcMar>
            <w:vAlign w:val="center"/>
          </w:tcPr>
          <w:p w:rsidR="006904E2" w:rsidRDefault="006904E2">
            <w:pPr>
              <w:pStyle w:val="BodyText"/>
              <w:jc w:val="center"/>
              <w:rPr>
                <w:rFonts w:asciiTheme="minorHAnsi" w:hAnsiTheme="minorHAnsi"/>
                <w:sz w:val="20"/>
                <w:szCs w:val="20"/>
              </w:rPr>
            </w:pPr>
          </w:p>
        </w:tc>
        <w:tc>
          <w:tcPr>
            <w:tcW w:w="1921" w:type="dxa"/>
            <w:tcBorders>
              <w:top w:val="nil"/>
            </w:tcBorders>
            <w:shd w:val="clear" w:color="auto" w:fill="auto"/>
            <w:tcMar>
              <w:left w:w="23" w:type="dxa"/>
            </w:tcMar>
          </w:tcPr>
          <w:p w:rsidR="006904E2" w:rsidRDefault="00010018">
            <w:pPr>
              <w:pStyle w:val="BodyText"/>
              <w:jc w:val="center"/>
            </w:pPr>
            <w:r>
              <w:rPr>
                <w:rFonts w:asciiTheme="minorHAnsi" w:hAnsiTheme="minorHAnsi"/>
                <w:sz w:val="20"/>
                <w:szCs w:val="20"/>
              </w:rPr>
              <w:t>IALA Guideline 1114, chapter 3</w:t>
            </w:r>
          </w:p>
        </w:tc>
        <w:tc>
          <w:tcPr>
            <w:tcW w:w="975" w:type="dxa"/>
            <w:tcBorders>
              <w:top w:val="nil"/>
            </w:tcBorders>
            <w:shd w:val="clear" w:color="auto" w:fill="auto"/>
            <w:tcMar>
              <w:left w:w="23" w:type="dxa"/>
            </w:tcMar>
          </w:tcPr>
          <w:p w:rsidR="006904E2" w:rsidRDefault="006904E2">
            <w:pPr>
              <w:pStyle w:val="BodyText"/>
              <w:jc w:val="center"/>
              <w:rPr>
                <w:rFonts w:asciiTheme="minorHAnsi" w:hAnsiTheme="minorHAnsi"/>
                <w:sz w:val="20"/>
                <w:szCs w:val="20"/>
              </w:rPr>
            </w:pPr>
          </w:p>
        </w:tc>
        <w:tc>
          <w:tcPr>
            <w:tcW w:w="4365" w:type="dxa"/>
            <w:tcBorders>
              <w:top w:val="nil"/>
            </w:tcBorders>
            <w:shd w:val="clear" w:color="auto" w:fill="auto"/>
            <w:tcMar>
              <w:left w:w="23" w:type="dxa"/>
            </w:tcMar>
          </w:tcPr>
          <w:p w:rsidR="006904E2" w:rsidRDefault="00010018">
            <w:pPr>
              <w:pStyle w:val="BodyText"/>
              <w:spacing w:after="0"/>
            </w:pPr>
            <w:r>
              <w:rPr>
                <w:rFonts w:asciiTheme="minorHAnsi" w:hAnsiTheme="minorHAnsi"/>
                <w:sz w:val="20"/>
                <w:szCs w:val="20"/>
              </w:rPr>
              <w:t xml:space="preserve">In the context of the Common Shore-based System Architecture (CSSA), the GMDSS VHF </w:t>
            </w:r>
            <w:r>
              <w:rPr>
                <w:rFonts w:asciiTheme="minorHAnsi" w:hAnsiTheme="minorHAnsi"/>
                <w:sz w:val="20"/>
                <w:szCs w:val="20"/>
                <w:u w:val="single"/>
              </w:rPr>
              <w:t>DSC</w:t>
            </w:r>
            <w:r>
              <w:rPr>
                <w:rFonts w:asciiTheme="minorHAnsi" w:hAnsiTheme="minorHAnsi"/>
                <w:sz w:val="20"/>
                <w:szCs w:val="20"/>
              </w:rPr>
              <w:t xml:space="preserve"> Service (DSC) allows the CSS to participate in the </w:t>
            </w:r>
            <w:proofErr w:type="gramStart"/>
            <w:r>
              <w:rPr>
                <w:rFonts w:asciiTheme="minorHAnsi" w:hAnsiTheme="minorHAnsi"/>
                <w:sz w:val="20"/>
                <w:szCs w:val="20"/>
              </w:rPr>
              <w:t>digital  GMDSS</w:t>
            </w:r>
            <w:proofErr w:type="gramEnd"/>
            <w:r>
              <w:rPr>
                <w:rFonts w:asciiTheme="minorHAnsi" w:hAnsiTheme="minorHAnsi"/>
                <w:sz w:val="20"/>
                <w:szCs w:val="20"/>
              </w:rPr>
              <w:t xml:space="preserve">  DSC-Channel  70  in  the  VHF  maritime  mobile  service band.</w:t>
            </w:r>
          </w:p>
        </w:tc>
        <w:tc>
          <w:tcPr>
            <w:tcW w:w="1081" w:type="dxa"/>
            <w:tcBorders>
              <w:top w:val="nil"/>
            </w:tcBorders>
            <w:shd w:val="clear" w:color="auto" w:fill="auto"/>
            <w:tcMar>
              <w:left w:w="23" w:type="dxa"/>
            </w:tcMar>
          </w:tcPr>
          <w:p w:rsidR="006904E2" w:rsidRDefault="006904E2">
            <w:pPr>
              <w:pStyle w:val="BodyText"/>
              <w:jc w:val="left"/>
              <w:rPr>
                <w:rFonts w:asciiTheme="minorHAnsi" w:hAnsiTheme="minorHAnsi"/>
                <w:sz w:val="20"/>
                <w:szCs w:val="20"/>
              </w:rPr>
            </w:pPr>
          </w:p>
        </w:tc>
        <w:tc>
          <w:tcPr>
            <w:tcW w:w="1125" w:type="dxa"/>
            <w:tcBorders>
              <w:top w:val="nil"/>
            </w:tcBorders>
            <w:shd w:val="clear" w:color="auto" w:fill="auto"/>
            <w:tcMar>
              <w:left w:w="23" w:type="dxa"/>
            </w:tcMar>
            <w:vAlign w:val="center"/>
          </w:tcPr>
          <w:p w:rsidR="006904E2" w:rsidRDefault="006904E2">
            <w:pPr>
              <w:pStyle w:val="BodyText"/>
              <w:jc w:val="left"/>
              <w:rPr>
                <w:rFonts w:asciiTheme="minorHAnsi" w:hAnsiTheme="minorHAnsi"/>
                <w:sz w:val="20"/>
                <w:szCs w:val="20"/>
              </w:rPr>
            </w:pPr>
          </w:p>
        </w:tc>
        <w:tc>
          <w:tcPr>
            <w:tcW w:w="997" w:type="dxa"/>
            <w:tcBorders>
              <w:top w:val="nil"/>
            </w:tcBorders>
            <w:shd w:val="clear" w:color="auto" w:fill="auto"/>
            <w:tcMar>
              <w:left w:w="23" w:type="dxa"/>
            </w:tcMar>
          </w:tcPr>
          <w:p w:rsidR="006904E2" w:rsidRDefault="00010018">
            <w:pPr>
              <w:pStyle w:val="BodyText"/>
              <w:jc w:val="left"/>
              <w:rPr>
                <w:rFonts w:asciiTheme="minorHAnsi" w:hAnsiTheme="minorHAnsi"/>
                <w:sz w:val="20"/>
                <w:szCs w:val="20"/>
              </w:rPr>
            </w:pPr>
            <w:r>
              <w:rPr>
                <w:rFonts w:ascii="Calibri" w:hAnsi="Calibri"/>
                <w:sz w:val="20"/>
                <w:szCs w:val="20"/>
              </w:rPr>
              <w:t xml:space="preserve">New term </w:t>
            </w:r>
          </w:p>
        </w:tc>
        <w:tc>
          <w:tcPr>
            <w:tcW w:w="1072" w:type="dxa"/>
            <w:tcBorders>
              <w:top w:val="nil"/>
            </w:tcBorders>
            <w:shd w:val="clear" w:color="auto" w:fill="auto"/>
            <w:tcMar>
              <w:left w:w="23" w:type="dxa"/>
            </w:tcMar>
          </w:tcPr>
          <w:p w:rsidR="006904E2" w:rsidRDefault="00010018">
            <w:pPr>
              <w:pStyle w:val="BodyText"/>
              <w:jc w:val="left"/>
              <w:rPr>
                <w:rFonts w:asciiTheme="minorHAnsi" w:hAnsiTheme="minorHAnsi"/>
                <w:sz w:val="20"/>
                <w:szCs w:val="20"/>
              </w:rPr>
            </w:pPr>
            <w:r>
              <w:rPr>
                <w:rFonts w:ascii="Calibri" w:hAnsi="Calibri"/>
                <w:sz w:val="20"/>
                <w:szCs w:val="20"/>
              </w:rPr>
              <w:t>May 2015</w:t>
            </w:r>
          </w:p>
        </w:tc>
        <w:tc>
          <w:tcPr>
            <w:tcW w:w="924" w:type="dxa"/>
            <w:tcBorders>
              <w:top w:val="nil"/>
            </w:tcBorders>
            <w:shd w:val="clear" w:color="auto" w:fill="auto"/>
            <w:tcMar>
              <w:left w:w="23" w:type="dxa"/>
            </w:tcMar>
          </w:tcPr>
          <w:p w:rsidR="006904E2" w:rsidRDefault="00010018">
            <w:pPr>
              <w:pStyle w:val="BodyText"/>
              <w:rPr>
                <w:rFonts w:asciiTheme="minorHAnsi" w:hAnsiTheme="minorHAnsi"/>
                <w:sz w:val="20"/>
                <w:szCs w:val="20"/>
              </w:rPr>
            </w:pPr>
            <w:r>
              <w:rPr>
                <w:rFonts w:ascii="Calibri" w:hAnsi="Calibri"/>
                <w:sz w:val="20"/>
                <w:szCs w:val="20"/>
              </w:rPr>
              <w:t>IALA Council approved</w:t>
            </w:r>
          </w:p>
        </w:tc>
      </w:tr>
      <w:tr w:rsidR="006904E2">
        <w:tc>
          <w:tcPr>
            <w:tcW w:w="1364" w:type="dxa"/>
            <w:tcBorders>
              <w:top w:val="nil"/>
            </w:tcBorders>
            <w:shd w:val="clear" w:color="auto" w:fill="auto"/>
            <w:tcMar>
              <w:left w:w="23" w:type="dxa"/>
            </w:tcMar>
          </w:tcPr>
          <w:p w:rsidR="006904E2" w:rsidRDefault="00010018">
            <w:pPr>
              <w:pStyle w:val="BodyText"/>
              <w:spacing w:after="0"/>
              <w:rPr>
                <w:rFonts w:asciiTheme="minorHAnsi" w:hAnsiTheme="minorHAnsi"/>
                <w:sz w:val="20"/>
                <w:szCs w:val="20"/>
              </w:rPr>
            </w:pPr>
            <w:r>
              <w:rPr>
                <w:rFonts w:asciiTheme="minorHAnsi" w:hAnsiTheme="minorHAnsi"/>
                <w:sz w:val="20"/>
                <w:szCs w:val="20"/>
                <w:u w:val="single"/>
              </w:rPr>
              <w:t>HF</w:t>
            </w:r>
            <w:r>
              <w:rPr>
                <w:rFonts w:asciiTheme="minorHAnsi" w:hAnsiTheme="minorHAnsi"/>
                <w:sz w:val="20"/>
                <w:szCs w:val="20"/>
              </w:rPr>
              <w:t xml:space="preserve"> </w:t>
            </w:r>
            <w:r>
              <w:rPr>
                <w:rFonts w:asciiTheme="minorHAnsi" w:hAnsiTheme="minorHAnsi"/>
                <w:sz w:val="20"/>
                <w:szCs w:val="20"/>
                <w:u w:val="single"/>
              </w:rPr>
              <w:t>C</w:t>
            </w:r>
            <w:r>
              <w:rPr>
                <w:rFonts w:asciiTheme="minorHAnsi" w:hAnsiTheme="minorHAnsi"/>
                <w:sz w:val="20"/>
                <w:szCs w:val="20"/>
              </w:rPr>
              <w:t>ommunication Service (HFC)</w:t>
            </w:r>
          </w:p>
        </w:tc>
        <w:tc>
          <w:tcPr>
            <w:tcW w:w="960" w:type="dxa"/>
            <w:tcBorders>
              <w:top w:val="nil"/>
            </w:tcBorders>
            <w:shd w:val="clear" w:color="auto" w:fill="auto"/>
            <w:tcMar>
              <w:left w:w="23" w:type="dxa"/>
            </w:tcMar>
            <w:vAlign w:val="center"/>
          </w:tcPr>
          <w:p w:rsidR="006904E2" w:rsidRDefault="006904E2">
            <w:pPr>
              <w:pStyle w:val="BodyText"/>
              <w:jc w:val="center"/>
              <w:rPr>
                <w:rFonts w:asciiTheme="minorHAnsi" w:hAnsiTheme="minorHAnsi"/>
                <w:sz w:val="20"/>
                <w:szCs w:val="20"/>
              </w:rPr>
            </w:pPr>
          </w:p>
        </w:tc>
        <w:tc>
          <w:tcPr>
            <w:tcW w:w="1921" w:type="dxa"/>
            <w:tcBorders>
              <w:top w:val="nil"/>
            </w:tcBorders>
            <w:shd w:val="clear" w:color="auto" w:fill="auto"/>
            <w:tcMar>
              <w:left w:w="23" w:type="dxa"/>
            </w:tcMar>
          </w:tcPr>
          <w:p w:rsidR="006904E2" w:rsidRDefault="00010018">
            <w:pPr>
              <w:pStyle w:val="BodyText"/>
              <w:jc w:val="center"/>
            </w:pPr>
            <w:r>
              <w:rPr>
                <w:rFonts w:asciiTheme="minorHAnsi" w:hAnsiTheme="minorHAnsi"/>
                <w:sz w:val="20"/>
                <w:szCs w:val="20"/>
              </w:rPr>
              <w:t>IALA Guideline 1114, chapter 3</w:t>
            </w:r>
          </w:p>
        </w:tc>
        <w:tc>
          <w:tcPr>
            <w:tcW w:w="975" w:type="dxa"/>
            <w:tcBorders>
              <w:top w:val="nil"/>
            </w:tcBorders>
            <w:shd w:val="clear" w:color="auto" w:fill="auto"/>
            <w:tcMar>
              <w:left w:w="23" w:type="dxa"/>
            </w:tcMar>
          </w:tcPr>
          <w:p w:rsidR="006904E2" w:rsidRDefault="006904E2">
            <w:pPr>
              <w:pStyle w:val="BodyText"/>
              <w:jc w:val="center"/>
              <w:rPr>
                <w:rFonts w:asciiTheme="minorHAnsi" w:hAnsiTheme="minorHAnsi"/>
                <w:sz w:val="20"/>
                <w:szCs w:val="20"/>
              </w:rPr>
            </w:pPr>
          </w:p>
        </w:tc>
        <w:tc>
          <w:tcPr>
            <w:tcW w:w="4365" w:type="dxa"/>
            <w:tcBorders>
              <w:top w:val="nil"/>
            </w:tcBorders>
            <w:shd w:val="clear" w:color="auto" w:fill="auto"/>
            <w:tcMar>
              <w:left w:w="23" w:type="dxa"/>
            </w:tcMar>
          </w:tcPr>
          <w:p w:rsidR="006904E2" w:rsidRDefault="00010018">
            <w:pPr>
              <w:pStyle w:val="BodyText"/>
              <w:spacing w:after="0"/>
            </w:pPr>
            <w:r>
              <w:rPr>
                <w:rFonts w:asciiTheme="minorHAnsi" w:hAnsiTheme="minorHAnsi"/>
                <w:sz w:val="20"/>
                <w:szCs w:val="20"/>
              </w:rPr>
              <w:t xml:space="preserve">In the context of the Common Shore-based System Architecture (CSSA), the </w:t>
            </w:r>
            <w:r>
              <w:rPr>
                <w:rFonts w:asciiTheme="minorHAnsi" w:hAnsiTheme="minorHAnsi"/>
                <w:sz w:val="20"/>
                <w:szCs w:val="20"/>
                <w:u w:val="single"/>
              </w:rPr>
              <w:t>HF</w:t>
            </w:r>
            <w:r>
              <w:rPr>
                <w:rFonts w:asciiTheme="minorHAnsi" w:hAnsiTheme="minorHAnsi"/>
                <w:sz w:val="20"/>
                <w:szCs w:val="20"/>
              </w:rPr>
              <w:t xml:space="preserve"> </w:t>
            </w:r>
            <w:r>
              <w:rPr>
                <w:rFonts w:asciiTheme="minorHAnsi" w:hAnsiTheme="minorHAnsi"/>
                <w:sz w:val="20"/>
                <w:szCs w:val="20"/>
                <w:u w:val="single"/>
              </w:rPr>
              <w:t>C</w:t>
            </w:r>
            <w:r>
              <w:rPr>
                <w:rFonts w:asciiTheme="minorHAnsi" w:hAnsiTheme="minorHAnsi"/>
                <w:sz w:val="20"/>
                <w:szCs w:val="20"/>
              </w:rPr>
              <w:t>ommunication Service (HFC) provides  the  shore-based  bidirectional voice and data communication with any mobile station operating  on  the  HF  frequencies  (short  wave  bands)  assigned  to  maritime use.</w:t>
            </w:r>
          </w:p>
        </w:tc>
        <w:tc>
          <w:tcPr>
            <w:tcW w:w="1081" w:type="dxa"/>
            <w:tcBorders>
              <w:top w:val="nil"/>
            </w:tcBorders>
            <w:shd w:val="clear" w:color="auto" w:fill="auto"/>
            <w:tcMar>
              <w:left w:w="23" w:type="dxa"/>
            </w:tcMar>
          </w:tcPr>
          <w:p w:rsidR="006904E2" w:rsidRDefault="006904E2">
            <w:pPr>
              <w:pStyle w:val="BodyText"/>
              <w:jc w:val="left"/>
              <w:rPr>
                <w:rFonts w:asciiTheme="minorHAnsi" w:hAnsiTheme="minorHAnsi"/>
                <w:sz w:val="20"/>
                <w:szCs w:val="20"/>
              </w:rPr>
            </w:pPr>
          </w:p>
        </w:tc>
        <w:tc>
          <w:tcPr>
            <w:tcW w:w="1125" w:type="dxa"/>
            <w:tcBorders>
              <w:top w:val="nil"/>
            </w:tcBorders>
            <w:shd w:val="clear" w:color="auto" w:fill="auto"/>
            <w:tcMar>
              <w:left w:w="23" w:type="dxa"/>
            </w:tcMar>
            <w:vAlign w:val="center"/>
          </w:tcPr>
          <w:p w:rsidR="006904E2" w:rsidRDefault="006904E2">
            <w:pPr>
              <w:pStyle w:val="BodyText"/>
              <w:jc w:val="left"/>
              <w:rPr>
                <w:rFonts w:asciiTheme="minorHAnsi" w:hAnsiTheme="minorHAnsi"/>
                <w:sz w:val="20"/>
                <w:szCs w:val="20"/>
              </w:rPr>
            </w:pPr>
          </w:p>
        </w:tc>
        <w:tc>
          <w:tcPr>
            <w:tcW w:w="997" w:type="dxa"/>
            <w:tcBorders>
              <w:top w:val="nil"/>
            </w:tcBorders>
            <w:shd w:val="clear" w:color="auto" w:fill="auto"/>
            <w:tcMar>
              <w:left w:w="23" w:type="dxa"/>
            </w:tcMar>
          </w:tcPr>
          <w:p w:rsidR="006904E2" w:rsidRDefault="00010018">
            <w:pPr>
              <w:pStyle w:val="BodyText"/>
              <w:jc w:val="left"/>
              <w:rPr>
                <w:rFonts w:asciiTheme="minorHAnsi" w:hAnsiTheme="minorHAnsi"/>
                <w:sz w:val="20"/>
                <w:szCs w:val="20"/>
              </w:rPr>
            </w:pPr>
            <w:r>
              <w:rPr>
                <w:rFonts w:ascii="Calibri" w:hAnsi="Calibri"/>
                <w:sz w:val="20"/>
                <w:szCs w:val="20"/>
              </w:rPr>
              <w:t xml:space="preserve">New term </w:t>
            </w:r>
          </w:p>
        </w:tc>
        <w:tc>
          <w:tcPr>
            <w:tcW w:w="1072" w:type="dxa"/>
            <w:tcBorders>
              <w:top w:val="nil"/>
            </w:tcBorders>
            <w:shd w:val="clear" w:color="auto" w:fill="auto"/>
            <w:tcMar>
              <w:left w:w="23" w:type="dxa"/>
            </w:tcMar>
          </w:tcPr>
          <w:p w:rsidR="006904E2" w:rsidRDefault="00010018">
            <w:pPr>
              <w:pStyle w:val="BodyText"/>
              <w:jc w:val="left"/>
              <w:rPr>
                <w:rFonts w:asciiTheme="minorHAnsi" w:hAnsiTheme="minorHAnsi"/>
                <w:sz w:val="20"/>
                <w:szCs w:val="20"/>
              </w:rPr>
            </w:pPr>
            <w:r>
              <w:rPr>
                <w:rFonts w:ascii="Calibri" w:hAnsi="Calibri"/>
                <w:sz w:val="20"/>
                <w:szCs w:val="20"/>
              </w:rPr>
              <w:t>May 2015</w:t>
            </w:r>
          </w:p>
        </w:tc>
        <w:tc>
          <w:tcPr>
            <w:tcW w:w="924" w:type="dxa"/>
            <w:tcBorders>
              <w:top w:val="nil"/>
            </w:tcBorders>
            <w:shd w:val="clear" w:color="auto" w:fill="auto"/>
            <w:tcMar>
              <w:left w:w="23" w:type="dxa"/>
            </w:tcMar>
          </w:tcPr>
          <w:p w:rsidR="006904E2" w:rsidRDefault="00010018">
            <w:pPr>
              <w:pStyle w:val="BodyText"/>
              <w:rPr>
                <w:rFonts w:asciiTheme="minorHAnsi" w:hAnsiTheme="minorHAnsi"/>
                <w:sz w:val="20"/>
                <w:szCs w:val="20"/>
              </w:rPr>
            </w:pPr>
            <w:r>
              <w:rPr>
                <w:rFonts w:ascii="Calibri" w:hAnsi="Calibri"/>
                <w:sz w:val="20"/>
                <w:szCs w:val="20"/>
              </w:rPr>
              <w:t>IALA Council approved</w:t>
            </w:r>
          </w:p>
        </w:tc>
      </w:tr>
      <w:tr w:rsidR="006904E2">
        <w:tc>
          <w:tcPr>
            <w:tcW w:w="1364" w:type="dxa"/>
            <w:tcBorders>
              <w:top w:val="nil"/>
            </w:tcBorders>
            <w:shd w:val="clear" w:color="auto" w:fill="auto"/>
            <w:tcMar>
              <w:left w:w="23" w:type="dxa"/>
            </w:tcMar>
          </w:tcPr>
          <w:p w:rsidR="006904E2" w:rsidRDefault="00010018">
            <w:pPr>
              <w:pStyle w:val="BodyText"/>
              <w:spacing w:after="0"/>
              <w:rPr>
                <w:rFonts w:asciiTheme="minorHAnsi" w:hAnsiTheme="minorHAnsi"/>
                <w:sz w:val="20"/>
                <w:szCs w:val="20"/>
              </w:rPr>
            </w:pPr>
            <w:r>
              <w:rPr>
                <w:rFonts w:asciiTheme="minorHAnsi" w:hAnsiTheme="minorHAnsi"/>
                <w:sz w:val="20"/>
                <w:szCs w:val="20"/>
                <w:u w:val="single"/>
              </w:rPr>
              <w:lastRenderedPageBreak/>
              <w:t>HF</w:t>
            </w:r>
            <w:r>
              <w:rPr>
                <w:rFonts w:asciiTheme="minorHAnsi" w:hAnsiTheme="minorHAnsi"/>
                <w:sz w:val="20"/>
                <w:szCs w:val="20"/>
              </w:rPr>
              <w:t xml:space="preserve"> </w:t>
            </w:r>
            <w:r>
              <w:rPr>
                <w:rFonts w:asciiTheme="minorHAnsi" w:hAnsiTheme="minorHAnsi"/>
                <w:sz w:val="20"/>
                <w:szCs w:val="20"/>
                <w:u w:val="single"/>
              </w:rPr>
              <w:t>G</w:t>
            </w:r>
            <w:r>
              <w:rPr>
                <w:rFonts w:asciiTheme="minorHAnsi" w:hAnsiTheme="minorHAnsi"/>
                <w:sz w:val="20"/>
                <w:szCs w:val="20"/>
              </w:rPr>
              <w:t>MDSS Service (HFG)</w:t>
            </w:r>
          </w:p>
        </w:tc>
        <w:tc>
          <w:tcPr>
            <w:tcW w:w="960" w:type="dxa"/>
            <w:tcBorders>
              <w:top w:val="nil"/>
            </w:tcBorders>
            <w:shd w:val="clear" w:color="auto" w:fill="auto"/>
            <w:tcMar>
              <w:left w:w="23" w:type="dxa"/>
            </w:tcMar>
            <w:vAlign w:val="center"/>
          </w:tcPr>
          <w:p w:rsidR="006904E2" w:rsidRDefault="006904E2">
            <w:pPr>
              <w:pStyle w:val="BodyText"/>
              <w:jc w:val="center"/>
              <w:rPr>
                <w:rFonts w:asciiTheme="minorHAnsi" w:hAnsiTheme="minorHAnsi"/>
                <w:sz w:val="20"/>
                <w:szCs w:val="20"/>
              </w:rPr>
            </w:pPr>
          </w:p>
        </w:tc>
        <w:tc>
          <w:tcPr>
            <w:tcW w:w="1921" w:type="dxa"/>
            <w:tcBorders>
              <w:top w:val="nil"/>
            </w:tcBorders>
            <w:shd w:val="clear" w:color="auto" w:fill="auto"/>
            <w:tcMar>
              <w:left w:w="23" w:type="dxa"/>
            </w:tcMar>
          </w:tcPr>
          <w:p w:rsidR="006904E2" w:rsidRDefault="00010018">
            <w:pPr>
              <w:pStyle w:val="BodyText"/>
              <w:jc w:val="center"/>
            </w:pPr>
            <w:r>
              <w:rPr>
                <w:rFonts w:asciiTheme="minorHAnsi" w:hAnsiTheme="minorHAnsi"/>
                <w:sz w:val="20"/>
                <w:szCs w:val="20"/>
              </w:rPr>
              <w:t>IALA Guideline 1114, chapter 3</w:t>
            </w:r>
          </w:p>
        </w:tc>
        <w:tc>
          <w:tcPr>
            <w:tcW w:w="975" w:type="dxa"/>
            <w:tcBorders>
              <w:top w:val="nil"/>
            </w:tcBorders>
            <w:shd w:val="clear" w:color="auto" w:fill="auto"/>
            <w:tcMar>
              <w:left w:w="23" w:type="dxa"/>
            </w:tcMar>
          </w:tcPr>
          <w:p w:rsidR="006904E2" w:rsidRDefault="006904E2">
            <w:pPr>
              <w:pStyle w:val="BodyText"/>
              <w:jc w:val="center"/>
              <w:rPr>
                <w:rFonts w:asciiTheme="minorHAnsi" w:hAnsiTheme="minorHAnsi"/>
                <w:sz w:val="20"/>
                <w:szCs w:val="20"/>
              </w:rPr>
            </w:pPr>
          </w:p>
        </w:tc>
        <w:tc>
          <w:tcPr>
            <w:tcW w:w="4365" w:type="dxa"/>
            <w:tcBorders>
              <w:top w:val="nil"/>
            </w:tcBorders>
            <w:shd w:val="clear" w:color="auto" w:fill="auto"/>
            <w:tcMar>
              <w:left w:w="23" w:type="dxa"/>
            </w:tcMar>
          </w:tcPr>
          <w:p w:rsidR="006904E2" w:rsidRDefault="00010018">
            <w:pPr>
              <w:pStyle w:val="BodyText"/>
              <w:spacing w:after="0"/>
            </w:pPr>
            <w:r>
              <w:rPr>
                <w:rFonts w:asciiTheme="minorHAnsi" w:hAnsiTheme="minorHAnsi"/>
                <w:sz w:val="20"/>
                <w:szCs w:val="20"/>
              </w:rPr>
              <w:t xml:space="preserve">In the context of the Common Shore-based System Architecture (CSSA), the </w:t>
            </w:r>
            <w:r>
              <w:rPr>
                <w:rFonts w:asciiTheme="minorHAnsi" w:hAnsiTheme="minorHAnsi"/>
                <w:sz w:val="20"/>
                <w:szCs w:val="20"/>
                <w:u w:val="single"/>
              </w:rPr>
              <w:t>HF</w:t>
            </w:r>
            <w:r>
              <w:rPr>
                <w:rFonts w:asciiTheme="minorHAnsi" w:hAnsiTheme="minorHAnsi"/>
                <w:sz w:val="20"/>
                <w:szCs w:val="20"/>
              </w:rPr>
              <w:t xml:space="preserve"> </w:t>
            </w:r>
            <w:r>
              <w:rPr>
                <w:rFonts w:asciiTheme="minorHAnsi" w:hAnsiTheme="minorHAnsi"/>
                <w:sz w:val="20"/>
                <w:szCs w:val="20"/>
                <w:u w:val="single"/>
              </w:rPr>
              <w:t>G</w:t>
            </w:r>
            <w:r>
              <w:rPr>
                <w:rFonts w:asciiTheme="minorHAnsi" w:hAnsiTheme="minorHAnsi"/>
                <w:sz w:val="20"/>
                <w:szCs w:val="20"/>
              </w:rPr>
              <w:t>MDSS Service (HFG) allows for the bi-directional communication in the HF channels dedicated to the GMDSS.</w:t>
            </w:r>
          </w:p>
        </w:tc>
        <w:tc>
          <w:tcPr>
            <w:tcW w:w="1081" w:type="dxa"/>
            <w:tcBorders>
              <w:top w:val="nil"/>
            </w:tcBorders>
            <w:shd w:val="clear" w:color="auto" w:fill="auto"/>
            <w:tcMar>
              <w:left w:w="23" w:type="dxa"/>
            </w:tcMar>
          </w:tcPr>
          <w:p w:rsidR="006904E2" w:rsidRDefault="006904E2">
            <w:pPr>
              <w:pStyle w:val="BodyText"/>
              <w:jc w:val="left"/>
              <w:rPr>
                <w:rFonts w:asciiTheme="minorHAnsi" w:hAnsiTheme="minorHAnsi"/>
                <w:sz w:val="20"/>
                <w:szCs w:val="20"/>
              </w:rPr>
            </w:pPr>
          </w:p>
        </w:tc>
        <w:tc>
          <w:tcPr>
            <w:tcW w:w="1125" w:type="dxa"/>
            <w:tcBorders>
              <w:top w:val="nil"/>
            </w:tcBorders>
            <w:shd w:val="clear" w:color="auto" w:fill="auto"/>
            <w:tcMar>
              <w:left w:w="23" w:type="dxa"/>
            </w:tcMar>
            <w:vAlign w:val="center"/>
          </w:tcPr>
          <w:p w:rsidR="006904E2" w:rsidRDefault="006904E2">
            <w:pPr>
              <w:pStyle w:val="BodyText"/>
              <w:jc w:val="left"/>
              <w:rPr>
                <w:rFonts w:asciiTheme="minorHAnsi" w:hAnsiTheme="minorHAnsi"/>
                <w:sz w:val="20"/>
                <w:szCs w:val="20"/>
              </w:rPr>
            </w:pPr>
          </w:p>
        </w:tc>
        <w:tc>
          <w:tcPr>
            <w:tcW w:w="997" w:type="dxa"/>
            <w:tcBorders>
              <w:top w:val="nil"/>
            </w:tcBorders>
            <w:shd w:val="clear" w:color="auto" w:fill="auto"/>
            <w:tcMar>
              <w:left w:w="23" w:type="dxa"/>
            </w:tcMar>
          </w:tcPr>
          <w:p w:rsidR="006904E2" w:rsidRDefault="00010018">
            <w:pPr>
              <w:pStyle w:val="BodyText"/>
              <w:jc w:val="left"/>
              <w:rPr>
                <w:rFonts w:asciiTheme="minorHAnsi" w:hAnsiTheme="minorHAnsi"/>
                <w:sz w:val="20"/>
                <w:szCs w:val="20"/>
              </w:rPr>
            </w:pPr>
            <w:r>
              <w:rPr>
                <w:rFonts w:ascii="Calibri" w:hAnsi="Calibri"/>
                <w:sz w:val="20"/>
                <w:szCs w:val="20"/>
              </w:rPr>
              <w:t xml:space="preserve">New term </w:t>
            </w:r>
          </w:p>
        </w:tc>
        <w:tc>
          <w:tcPr>
            <w:tcW w:w="1072" w:type="dxa"/>
            <w:tcBorders>
              <w:top w:val="nil"/>
            </w:tcBorders>
            <w:shd w:val="clear" w:color="auto" w:fill="auto"/>
            <w:tcMar>
              <w:left w:w="23" w:type="dxa"/>
            </w:tcMar>
          </w:tcPr>
          <w:p w:rsidR="006904E2" w:rsidRDefault="00010018">
            <w:pPr>
              <w:pStyle w:val="BodyText"/>
              <w:jc w:val="left"/>
              <w:rPr>
                <w:rFonts w:asciiTheme="minorHAnsi" w:hAnsiTheme="minorHAnsi"/>
                <w:sz w:val="20"/>
                <w:szCs w:val="20"/>
              </w:rPr>
            </w:pPr>
            <w:r>
              <w:rPr>
                <w:rFonts w:ascii="Calibri" w:hAnsi="Calibri"/>
                <w:sz w:val="20"/>
                <w:szCs w:val="20"/>
              </w:rPr>
              <w:t>May 2015</w:t>
            </w:r>
          </w:p>
        </w:tc>
        <w:tc>
          <w:tcPr>
            <w:tcW w:w="924" w:type="dxa"/>
            <w:tcBorders>
              <w:top w:val="nil"/>
            </w:tcBorders>
            <w:shd w:val="clear" w:color="auto" w:fill="auto"/>
            <w:tcMar>
              <w:left w:w="23" w:type="dxa"/>
            </w:tcMar>
          </w:tcPr>
          <w:p w:rsidR="006904E2" w:rsidRDefault="00010018">
            <w:pPr>
              <w:pStyle w:val="BodyText"/>
              <w:rPr>
                <w:rFonts w:asciiTheme="minorHAnsi" w:hAnsiTheme="minorHAnsi"/>
                <w:sz w:val="20"/>
                <w:szCs w:val="20"/>
              </w:rPr>
            </w:pPr>
            <w:r>
              <w:rPr>
                <w:rFonts w:ascii="Calibri" w:hAnsi="Calibri"/>
                <w:sz w:val="20"/>
                <w:szCs w:val="20"/>
              </w:rPr>
              <w:t>IALA Council approved</w:t>
            </w:r>
          </w:p>
        </w:tc>
      </w:tr>
      <w:tr w:rsidR="006904E2">
        <w:tc>
          <w:tcPr>
            <w:tcW w:w="1364" w:type="dxa"/>
            <w:tcBorders>
              <w:top w:val="nil"/>
            </w:tcBorders>
            <w:shd w:val="clear" w:color="auto" w:fill="auto"/>
            <w:tcMar>
              <w:left w:w="23" w:type="dxa"/>
            </w:tcMar>
          </w:tcPr>
          <w:p w:rsidR="006904E2" w:rsidRDefault="00010018">
            <w:pPr>
              <w:pStyle w:val="BodyText"/>
              <w:spacing w:after="0"/>
              <w:rPr>
                <w:rFonts w:asciiTheme="minorHAnsi" w:hAnsiTheme="minorHAnsi"/>
                <w:sz w:val="20"/>
                <w:szCs w:val="20"/>
              </w:rPr>
            </w:pPr>
            <w:proofErr w:type="spellStart"/>
            <w:r>
              <w:rPr>
                <w:rFonts w:asciiTheme="minorHAnsi" w:hAnsiTheme="minorHAnsi"/>
                <w:sz w:val="20"/>
                <w:szCs w:val="20"/>
                <w:u w:val="single"/>
              </w:rPr>
              <w:t>N</w:t>
            </w:r>
            <w:r>
              <w:rPr>
                <w:rFonts w:asciiTheme="minorHAnsi" w:hAnsiTheme="minorHAnsi"/>
                <w:sz w:val="20"/>
                <w:szCs w:val="20"/>
              </w:rPr>
              <w:t>av</w:t>
            </w:r>
            <w:r>
              <w:rPr>
                <w:rFonts w:asciiTheme="minorHAnsi" w:hAnsiTheme="minorHAnsi"/>
                <w:sz w:val="20"/>
                <w:szCs w:val="20"/>
                <w:u w:val="single"/>
              </w:rPr>
              <w:t>t</w:t>
            </w:r>
            <w:r>
              <w:rPr>
                <w:rFonts w:asciiTheme="minorHAnsi" w:hAnsiTheme="minorHAnsi"/>
                <w:sz w:val="20"/>
                <w:szCs w:val="20"/>
              </w:rPr>
              <w:t>e</w:t>
            </w:r>
            <w:r>
              <w:rPr>
                <w:rFonts w:asciiTheme="minorHAnsi" w:hAnsiTheme="minorHAnsi"/>
                <w:sz w:val="20"/>
                <w:szCs w:val="20"/>
                <w:u w:val="single"/>
              </w:rPr>
              <w:t>x</w:t>
            </w:r>
            <w:proofErr w:type="spellEnd"/>
            <w:r>
              <w:rPr>
                <w:rFonts w:asciiTheme="minorHAnsi" w:hAnsiTheme="minorHAnsi"/>
                <w:sz w:val="20"/>
                <w:szCs w:val="20"/>
              </w:rPr>
              <w:t xml:space="preserve"> Service (NTX)</w:t>
            </w:r>
          </w:p>
        </w:tc>
        <w:tc>
          <w:tcPr>
            <w:tcW w:w="960" w:type="dxa"/>
            <w:tcBorders>
              <w:top w:val="nil"/>
            </w:tcBorders>
            <w:shd w:val="clear" w:color="auto" w:fill="auto"/>
            <w:tcMar>
              <w:left w:w="23" w:type="dxa"/>
            </w:tcMar>
            <w:vAlign w:val="center"/>
          </w:tcPr>
          <w:p w:rsidR="006904E2" w:rsidRDefault="006904E2">
            <w:pPr>
              <w:pStyle w:val="BodyText"/>
              <w:jc w:val="center"/>
              <w:rPr>
                <w:rFonts w:asciiTheme="minorHAnsi" w:hAnsiTheme="minorHAnsi"/>
                <w:sz w:val="20"/>
                <w:szCs w:val="20"/>
              </w:rPr>
            </w:pPr>
          </w:p>
        </w:tc>
        <w:tc>
          <w:tcPr>
            <w:tcW w:w="1921" w:type="dxa"/>
            <w:tcBorders>
              <w:top w:val="nil"/>
            </w:tcBorders>
            <w:shd w:val="clear" w:color="auto" w:fill="auto"/>
            <w:tcMar>
              <w:left w:w="23" w:type="dxa"/>
            </w:tcMar>
          </w:tcPr>
          <w:p w:rsidR="006904E2" w:rsidRDefault="00010018">
            <w:pPr>
              <w:pStyle w:val="BodyText"/>
              <w:jc w:val="center"/>
            </w:pPr>
            <w:r>
              <w:rPr>
                <w:rFonts w:asciiTheme="minorHAnsi" w:hAnsiTheme="minorHAnsi"/>
                <w:sz w:val="20"/>
                <w:szCs w:val="20"/>
              </w:rPr>
              <w:t>IALA Guideline 1114, chapter 3</w:t>
            </w:r>
          </w:p>
        </w:tc>
        <w:tc>
          <w:tcPr>
            <w:tcW w:w="975" w:type="dxa"/>
            <w:tcBorders>
              <w:top w:val="nil"/>
            </w:tcBorders>
            <w:shd w:val="clear" w:color="auto" w:fill="auto"/>
            <w:tcMar>
              <w:left w:w="23" w:type="dxa"/>
            </w:tcMar>
          </w:tcPr>
          <w:p w:rsidR="006904E2" w:rsidRDefault="006904E2">
            <w:pPr>
              <w:pStyle w:val="BodyText"/>
              <w:jc w:val="center"/>
              <w:rPr>
                <w:rFonts w:asciiTheme="minorHAnsi" w:hAnsiTheme="minorHAnsi"/>
                <w:sz w:val="20"/>
                <w:szCs w:val="20"/>
              </w:rPr>
            </w:pPr>
          </w:p>
        </w:tc>
        <w:tc>
          <w:tcPr>
            <w:tcW w:w="4365" w:type="dxa"/>
            <w:tcBorders>
              <w:top w:val="nil"/>
            </w:tcBorders>
            <w:shd w:val="clear" w:color="auto" w:fill="auto"/>
            <w:tcMar>
              <w:left w:w="23" w:type="dxa"/>
            </w:tcMar>
          </w:tcPr>
          <w:p w:rsidR="006904E2" w:rsidRDefault="00010018">
            <w:pPr>
              <w:pStyle w:val="BodyText"/>
              <w:spacing w:after="0"/>
            </w:pPr>
            <w:r>
              <w:rPr>
                <w:rFonts w:asciiTheme="minorHAnsi" w:hAnsiTheme="minorHAnsi"/>
                <w:sz w:val="20"/>
                <w:szCs w:val="20"/>
              </w:rPr>
              <w:t xml:space="preserve">In the context of the Common Shore-based System Architecture (CSSA), the shore-based technical service transmitting NAVTEX data is the </w:t>
            </w:r>
            <w:proofErr w:type="spellStart"/>
            <w:r>
              <w:rPr>
                <w:rFonts w:asciiTheme="minorHAnsi" w:hAnsiTheme="minorHAnsi"/>
                <w:sz w:val="20"/>
                <w:szCs w:val="20"/>
                <w:u w:val="single"/>
              </w:rPr>
              <w:t>N</w:t>
            </w:r>
            <w:r>
              <w:rPr>
                <w:rFonts w:asciiTheme="minorHAnsi" w:hAnsiTheme="minorHAnsi"/>
                <w:sz w:val="20"/>
                <w:szCs w:val="20"/>
              </w:rPr>
              <w:t>av</w:t>
            </w:r>
            <w:r>
              <w:rPr>
                <w:rFonts w:asciiTheme="minorHAnsi" w:hAnsiTheme="minorHAnsi"/>
                <w:sz w:val="20"/>
                <w:szCs w:val="20"/>
                <w:u w:val="single"/>
              </w:rPr>
              <w:t>t</w:t>
            </w:r>
            <w:r>
              <w:rPr>
                <w:rFonts w:asciiTheme="minorHAnsi" w:hAnsiTheme="minorHAnsi"/>
                <w:sz w:val="20"/>
                <w:szCs w:val="20"/>
              </w:rPr>
              <w:t>e</w:t>
            </w:r>
            <w:r>
              <w:rPr>
                <w:rFonts w:asciiTheme="minorHAnsi" w:hAnsiTheme="minorHAnsi"/>
                <w:sz w:val="20"/>
                <w:szCs w:val="20"/>
                <w:u w:val="single"/>
              </w:rPr>
              <w:t>x</w:t>
            </w:r>
            <w:proofErr w:type="spellEnd"/>
            <w:r>
              <w:rPr>
                <w:rFonts w:asciiTheme="minorHAnsi" w:hAnsiTheme="minorHAnsi"/>
                <w:sz w:val="20"/>
                <w:szCs w:val="20"/>
              </w:rPr>
              <w:t xml:space="preserve"> Service (NTX), i.e. it transmits navigation and meteorological warnings and forecasts as well as urgent safety information over MF radio to automated </w:t>
            </w:r>
            <w:proofErr w:type="spellStart"/>
            <w:r>
              <w:rPr>
                <w:rFonts w:asciiTheme="minorHAnsi" w:hAnsiTheme="minorHAnsi"/>
                <w:sz w:val="20"/>
                <w:szCs w:val="20"/>
              </w:rPr>
              <w:t>Navtex</w:t>
            </w:r>
            <w:proofErr w:type="spellEnd"/>
            <w:r>
              <w:rPr>
                <w:rFonts w:asciiTheme="minorHAnsi" w:hAnsiTheme="minorHAnsi"/>
                <w:sz w:val="20"/>
                <w:szCs w:val="20"/>
              </w:rPr>
              <w:t xml:space="preserve"> receivers/printers on-board ships.</w:t>
            </w:r>
          </w:p>
        </w:tc>
        <w:tc>
          <w:tcPr>
            <w:tcW w:w="1081" w:type="dxa"/>
            <w:tcBorders>
              <w:top w:val="nil"/>
            </w:tcBorders>
            <w:shd w:val="clear" w:color="auto" w:fill="auto"/>
            <w:tcMar>
              <w:left w:w="23" w:type="dxa"/>
            </w:tcMar>
          </w:tcPr>
          <w:p w:rsidR="006904E2" w:rsidRDefault="006904E2">
            <w:pPr>
              <w:pStyle w:val="BodyText"/>
              <w:jc w:val="left"/>
              <w:rPr>
                <w:rFonts w:asciiTheme="minorHAnsi" w:hAnsiTheme="minorHAnsi"/>
                <w:sz w:val="20"/>
                <w:szCs w:val="20"/>
              </w:rPr>
            </w:pPr>
          </w:p>
        </w:tc>
        <w:tc>
          <w:tcPr>
            <w:tcW w:w="1125" w:type="dxa"/>
            <w:tcBorders>
              <w:top w:val="nil"/>
            </w:tcBorders>
            <w:shd w:val="clear" w:color="auto" w:fill="auto"/>
            <w:tcMar>
              <w:left w:w="23" w:type="dxa"/>
            </w:tcMar>
            <w:vAlign w:val="center"/>
          </w:tcPr>
          <w:p w:rsidR="006904E2" w:rsidRDefault="006904E2">
            <w:pPr>
              <w:pStyle w:val="BodyText"/>
              <w:jc w:val="left"/>
              <w:rPr>
                <w:rFonts w:asciiTheme="minorHAnsi" w:hAnsiTheme="minorHAnsi"/>
                <w:sz w:val="20"/>
                <w:szCs w:val="20"/>
              </w:rPr>
            </w:pPr>
          </w:p>
        </w:tc>
        <w:tc>
          <w:tcPr>
            <w:tcW w:w="997" w:type="dxa"/>
            <w:tcBorders>
              <w:top w:val="nil"/>
            </w:tcBorders>
            <w:shd w:val="clear" w:color="auto" w:fill="auto"/>
            <w:tcMar>
              <w:left w:w="23" w:type="dxa"/>
            </w:tcMar>
          </w:tcPr>
          <w:p w:rsidR="006904E2" w:rsidRDefault="00010018">
            <w:pPr>
              <w:pStyle w:val="BodyText"/>
              <w:jc w:val="left"/>
              <w:rPr>
                <w:rFonts w:asciiTheme="minorHAnsi" w:hAnsiTheme="minorHAnsi"/>
                <w:sz w:val="20"/>
                <w:szCs w:val="20"/>
              </w:rPr>
            </w:pPr>
            <w:r>
              <w:rPr>
                <w:rFonts w:ascii="Calibri" w:hAnsi="Calibri"/>
                <w:sz w:val="20"/>
                <w:szCs w:val="20"/>
              </w:rPr>
              <w:t xml:space="preserve">New term </w:t>
            </w:r>
          </w:p>
        </w:tc>
        <w:tc>
          <w:tcPr>
            <w:tcW w:w="1072" w:type="dxa"/>
            <w:tcBorders>
              <w:top w:val="nil"/>
            </w:tcBorders>
            <w:shd w:val="clear" w:color="auto" w:fill="auto"/>
            <w:tcMar>
              <w:left w:w="23" w:type="dxa"/>
            </w:tcMar>
          </w:tcPr>
          <w:p w:rsidR="006904E2" w:rsidRDefault="00010018">
            <w:pPr>
              <w:pStyle w:val="BodyText"/>
              <w:jc w:val="left"/>
              <w:rPr>
                <w:rFonts w:asciiTheme="minorHAnsi" w:hAnsiTheme="minorHAnsi"/>
                <w:sz w:val="20"/>
                <w:szCs w:val="20"/>
              </w:rPr>
            </w:pPr>
            <w:r>
              <w:rPr>
                <w:rFonts w:ascii="Calibri" w:hAnsi="Calibri"/>
                <w:sz w:val="20"/>
                <w:szCs w:val="20"/>
              </w:rPr>
              <w:t>May 2015</w:t>
            </w:r>
          </w:p>
        </w:tc>
        <w:tc>
          <w:tcPr>
            <w:tcW w:w="924" w:type="dxa"/>
            <w:tcBorders>
              <w:top w:val="nil"/>
            </w:tcBorders>
            <w:shd w:val="clear" w:color="auto" w:fill="auto"/>
            <w:tcMar>
              <w:left w:w="23" w:type="dxa"/>
            </w:tcMar>
          </w:tcPr>
          <w:p w:rsidR="006904E2" w:rsidRDefault="00010018">
            <w:pPr>
              <w:pStyle w:val="BodyText"/>
              <w:rPr>
                <w:rFonts w:asciiTheme="minorHAnsi" w:hAnsiTheme="minorHAnsi"/>
                <w:sz w:val="20"/>
                <w:szCs w:val="20"/>
              </w:rPr>
            </w:pPr>
            <w:r>
              <w:rPr>
                <w:rFonts w:ascii="Calibri" w:hAnsi="Calibri"/>
                <w:sz w:val="20"/>
                <w:szCs w:val="20"/>
              </w:rPr>
              <w:t>IALA Council approved</w:t>
            </w:r>
          </w:p>
        </w:tc>
      </w:tr>
      <w:tr w:rsidR="006904E2">
        <w:tc>
          <w:tcPr>
            <w:tcW w:w="1364" w:type="dxa"/>
            <w:tcBorders>
              <w:top w:val="nil"/>
            </w:tcBorders>
            <w:shd w:val="clear" w:color="auto" w:fill="auto"/>
            <w:tcMar>
              <w:left w:w="23" w:type="dxa"/>
            </w:tcMar>
          </w:tcPr>
          <w:p w:rsidR="006904E2" w:rsidRDefault="00010018">
            <w:pPr>
              <w:pStyle w:val="BodyText"/>
              <w:spacing w:after="0"/>
              <w:rPr>
                <w:rFonts w:asciiTheme="minorHAnsi" w:hAnsiTheme="minorHAnsi"/>
                <w:sz w:val="20"/>
                <w:szCs w:val="20"/>
              </w:rPr>
            </w:pPr>
            <w:r>
              <w:rPr>
                <w:rFonts w:asciiTheme="minorHAnsi" w:hAnsiTheme="minorHAnsi"/>
                <w:sz w:val="20"/>
                <w:szCs w:val="20"/>
                <w:u w:val="single"/>
              </w:rPr>
              <w:t>Av</w:t>
            </w:r>
            <w:r>
              <w:rPr>
                <w:rFonts w:asciiTheme="minorHAnsi" w:hAnsiTheme="minorHAnsi"/>
                <w:sz w:val="20"/>
                <w:szCs w:val="20"/>
              </w:rPr>
              <w:t xml:space="preserve">iation </w:t>
            </w:r>
            <w:r>
              <w:rPr>
                <w:rFonts w:asciiTheme="minorHAnsi" w:hAnsiTheme="minorHAnsi"/>
                <w:sz w:val="20"/>
                <w:szCs w:val="20"/>
                <w:u w:val="single"/>
              </w:rPr>
              <w:t>C</w:t>
            </w:r>
            <w:r>
              <w:rPr>
                <w:rFonts w:asciiTheme="minorHAnsi" w:hAnsiTheme="minorHAnsi"/>
                <w:sz w:val="20"/>
                <w:szCs w:val="20"/>
              </w:rPr>
              <w:t>ommunication Service (AVC)</w:t>
            </w:r>
          </w:p>
        </w:tc>
        <w:tc>
          <w:tcPr>
            <w:tcW w:w="960" w:type="dxa"/>
            <w:tcBorders>
              <w:top w:val="nil"/>
            </w:tcBorders>
            <w:shd w:val="clear" w:color="auto" w:fill="auto"/>
            <w:tcMar>
              <w:left w:w="23" w:type="dxa"/>
            </w:tcMar>
            <w:vAlign w:val="center"/>
          </w:tcPr>
          <w:p w:rsidR="006904E2" w:rsidRDefault="006904E2">
            <w:pPr>
              <w:pStyle w:val="BodyText"/>
              <w:jc w:val="center"/>
              <w:rPr>
                <w:rFonts w:asciiTheme="minorHAnsi" w:hAnsiTheme="minorHAnsi"/>
                <w:sz w:val="20"/>
                <w:szCs w:val="20"/>
              </w:rPr>
            </w:pPr>
          </w:p>
        </w:tc>
        <w:tc>
          <w:tcPr>
            <w:tcW w:w="1921" w:type="dxa"/>
            <w:tcBorders>
              <w:top w:val="nil"/>
            </w:tcBorders>
            <w:shd w:val="clear" w:color="auto" w:fill="auto"/>
            <w:tcMar>
              <w:left w:w="23" w:type="dxa"/>
            </w:tcMar>
          </w:tcPr>
          <w:p w:rsidR="006904E2" w:rsidRDefault="00010018">
            <w:pPr>
              <w:pStyle w:val="BodyText"/>
              <w:jc w:val="center"/>
            </w:pPr>
            <w:r>
              <w:rPr>
                <w:rFonts w:asciiTheme="minorHAnsi" w:hAnsiTheme="minorHAnsi"/>
                <w:sz w:val="20"/>
                <w:szCs w:val="20"/>
              </w:rPr>
              <w:t>IALA Guideline 1114, chapter 3</w:t>
            </w:r>
          </w:p>
        </w:tc>
        <w:tc>
          <w:tcPr>
            <w:tcW w:w="975" w:type="dxa"/>
            <w:tcBorders>
              <w:top w:val="nil"/>
            </w:tcBorders>
            <w:shd w:val="clear" w:color="auto" w:fill="auto"/>
            <w:tcMar>
              <w:left w:w="23" w:type="dxa"/>
            </w:tcMar>
          </w:tcPr>
          <w:p w:rsidR="006904E2" w:rsidRDefault="006904E2">
            <w:pPr>
              <w:pStyle w:val="BodyText"/>
              <w:jc w:val="center"/>
              <w:rPr>
                <w:rFonts w:asciiTheme="minorHAnsi" w:hAnsiTheme="minorHAnsi"/>
                <w:sz w:val="20"/>
                <w:szCs w:val="20"/>
              </w:rPr>
            </w:pPr>
          </w:p>
        </w:tc>
        <w:tc>
          <w:tcPr>
            <w:tcW w:w="4365" w:type="dxa"/>
            <w:tcBorders>
              <w:top w:val="nil"/>
            </w:tcBorders>
            <w:shd w:val="clear" w:color="auto" w:fill="auto"/>
            <w:tcMar>
              <w:left w:w="23" w:type="dxa"/>
            </w:tcMar>
          </w:tcPr>
          <w:p w:rsidR="006904E2" w:rsidRDefault="00010018">
            <w:pPr>
              <w:pStyle w:val="BodyText"/>
              <w:spacing w:after="0"/>
            </w:pPr>
            <w:r>
              <w:rPr>
                <w:rFonts w:asciiTheme="minorHAnsi" w:hAnsiTheme="minorHAnsi"/>
                <w:sz w:val="20"/>
                <w:szCs w:val="20"/>
              </w:rPr>
              <w:t xml:space="preserve">In the context of the Common Shore-based System Architecture (CSSA), The </w:t>
            </w:r>
            <w:r>
              <w:rPr>
                <w:rFonts w:asciiTheme="minorHAnsi" w:hAnsiTheme="minorHAnsi"/>
                <w:sz w:val="20"/>
                <w:szCs w:val="20"/>
                <w:u w:val="single"/>
              </w:rPr>
              <w:t>Av</w:t>
            </w:r>
            <w:r>
              <w:rPr>
                <w:rFonts w:asciiTheme="minorHAnsi" w:hAnsiTheme="minorHAnsi"/>
                <w:sz w:val="20"/>
                <w:szCs w:val="20"/>
              </w:rPr>
              <w:t xml:space="preserve">iation </w:t>
            </w:r>
            <w:r>
              <w:rPr>
                <w:rFonts w:asciiTheme="minorHAnsi" w:hAnsiTheme="minorHAnsi"/>
                <w:sz w:val="20"/>
                <w:szCs w:val="20"/>
                <w:u w:val="single"/>
              </w:rPr>
              <w:t>C</w:t>
            </w:r>
            <w:r>
              <w:rPr>
                <w:rFonts w:asciiTheme="minorHAnsi" w:hAnsiTheme="minorHAnsi"/>
                <w:sz w:val="20"/>
                <w:szCs w:val="20"/>
              </w:rPr>
              <w:t xml:space="preserve">ommunication Service (AVC) </w:t>
            </w:r>
            <w:proofErr w:type="gramStart"/>
            <w:r>
              <w:rPr>
                <w:rFonts w:asciiTheme="minorHAnsi" w:hAnsiTheme="minorHAnsi"/>
                <w:sz w:val="20"/>
                <w:szCs w:val="20"/>
              </w:rPr>
              <w:t>allows  for</w:t>
            </w:r>
            <w:proofErr w:type="gramEnd"/>
            <w:r>
              <w:rPr>
                <w:rFonts w:asciiTheme="minorHAnsi" w:hAnsiTheme="minorHAnsi"/>
                <w:sz w:val="20"/>
                <w:szCs w:val="20"/>
              </w:rPr>
              <w:t xml:space="preserve">  shore-based  bidirectional voice and/or possibly data communication with any aircraft or helicopter, thus supporting operational applications such as Search and Rescue (SAR) and pollution response.</w:t>
            </w:r>
          </w:p>
        </w:tc>
        <w:tc>
          <w:tcPr>
            <w:tcW w:w="1081" w:type="dxa"/>
            <w:tcBorders>
              <w:top w:val="nil"/>
            </w:tcBorders>
            <w:shd w:val="clear" w:color="auto" w:fill="auto"/>
            <w:tcMar>
              <w:left w:w="23" w:type="dxa"/>
            </w:tcMar>
          </w:tcPr>
          <w:p w:rsidR="006904E2" w:rsidRDefault="006904E2">
            <w:pPr>
              <w:pStyle w:val="BodyText"/>
              <w:jc w:val="left"/>
              <w:rPr>
                <w:rFonts w:asciiTheme="minorHAnsi" w:hAnsiTheme="minorHAnsi"/>
                <w:sz w:val="20"/>
                <w:szCs w:val="20"/>
              </w:rPr>
            </w:pPr>
          </w:p>
        </w:tc>
        <w:tc>
          <w:tcPr>
            <w:tcW w:w="1125" w:type="dxa"/>
            <w:tcBorders>
              <w:top w:val="nil"/>
            </w:tcBorders>
            <w:shd w:val="clear" w:color="auto" w:fill="auto"/>
            <w:tcMar>
              <w:left w:w="23" w:type="dxa"/>
            </w:tcMar>
            <w:vAlign w:val="center"/>
          </w:tcPr>
          <w:p w:rsidR="006904E2" w:rsidRDefault="006904E2">
            <w:pPr>
              <w:pStyle w:val="BodyText"/>
              <w:jc w:val="left"/>
              <w:rPr>
                <w:rFonts w:asciiTheme="minorHAnsi" w:hAnsiTheme="minorHAnsi"/>
                <w:sz w:val="20"/>
                <w:szCs w:val="20"/>
              </w:rPr>
            </w:pPr>
          </w:p>
        </w:tc>
        <w:tc>
          <w:tcPr>
            <w:tcW w:w="997" w:type="dxa"/>
            <w:tcBorders>
              <w:top w:val="nil"/>
            </w:tcBorders>
            <w:shd w:val="clear" w:color="auto" w:fill="auto"/>
            <w:tcMar>
              <w:left w:w="23" w:type="dxa"/>
            </w:tcMar>
          </w:tcPr>
          <w:p w:rsidR="006904E2" w:rsidRDefault="00010018">
            <w:pPr>
              <w:pStyle w:val="BodyText"/>
              <w:jc w:val="left"/>
              <w:rPr>
                <w:rFonts w:asciiTheme="minorHAnsi" w:hAnsiTheme="minorHAnsi"/>
                <w:sz w:val="20"/>
                <w:szCs w:val="20"/>
              </w:rPr>
            </w:pPr>
            <w:r>
              <w:rPr>
                <w:rFonts w:ascii="Calibri" w:hAnsi="Calibri"/>
                <w:sz w:val="20"/>
                <w:szCs w:val="20"/>
              </w:rPr>
              <w:t xml:space="preserve">New term </w:t>
            </w:r>
          </w:p>
        </w:tc>
        <w:tc>
          <w:tcPr>
            <w:tcW w:w="1072" w:type="dxa"/>
            <w:tcBorders>
              <w:top w:val="nil"/>
            </w:tcBorders>
            <w:shd w:val="clear" w:color="auto" w:fill="auto"/>
            <w:tcMar>
              <w:left w:w="23" w:type="dxa"/>
            </w:tcMar>
          </w:tcPr>
          <w:p w:rsidR="006904E2" w:rsidRDefault="00010018">
            <w:pPr>
              <w:pStyle w:val="BodyText"/>
              <w:jc w:val="left"/>
              <w:rPr>
                <w:rFonts w:asciiTheme="minorHAnsi" w:hAnsiTheme="minorHAnsi"/>
                <w:sz w:val="20"/>
                <w:szCs w:val="20"/>
              </w:rPr>
            </w:pPr>
            <w:r>
              <w:rPr>
                <w:rFonts w:ascii="Calibri" w:hAnsi="Calibri"/>
                <w:sz w:val="20"/>
                <w:szCs w:val="20"/>
              </w:rPr>
              <w:t>May 2015</w:t>
            </w:r>
          </w:p>
        </w:tc>
        <w:tc>
          <w:tcPr>
            <w:tcW w:w="924" w:type="dxa"/>
            <w:tcBorders>
              <w:top w:val="nil"/>
            </w:tcBorders>
            <w:shd w:val="clear" w:color="auto" w:fill="auto"/>
            <w:tcMar>
              <w:left w:w="23" w:type="dxa"/>
            </w:tcMar>
          </w:tcPr>
          <w:p w:rsidR="006904E2" w:rsidRDefault="00010018">
            <w:pPr>
              <w:pStyle w:val="BodyText"/>
              <w:rPr>
                <w:rFonts w:asciiTheme="minorHAnsi" w:hAnsiTheme="minorHAnsi"/>
                <w:sz w:val="20"/>
                <w:szCs w:val="20"/>
              </w:rPr>
            </w:pPr>
            <w:r>
              <w:rPr>
                <w:rFonts w:ascii="Calibri" w:hAnsi="Calibri"/>
                <w:sz w:val="20"/>
                <w:szCs w:val="20"/>
              </w:rPr>
              <w:t>IALA Council approved</w:t>
            </w:r>
          </w:p>
        </w:tc>
      </w:tr>
      <w:tr w:rsidR="006904E2">
        <w:tc>
          <w:tcPr>
            <w:tcW w:w="1364" w:type="dxa"/>
            <w:tcBorders>
              <w:top w:val="nil"/>
            </w:tcBorders>
            <w:shd w:val="clear" w:color="auto" w:fill="auto"/>
            <w:tcMar>
              <w:left w:w="23" w:type="dxa"/>
            </w:tcMar>
          </w:tcPr>
          <w:p w:rsidR="006904E2" w:rsidRDefault="00010018">
            <w:pPr>
              <w:pStyle w:val="BodyText"/>
              <w:spacing w:after="0"/>
              <w:rPr>
                <w:rFonts w:asciiTheme="minorHAnsi" w:hAnsiTheme="minorHAnsi"/>
                <w:sz w:val="20"/>
                <w:szCs w:val="20"/>
              </w:rPr>
            </w:pPr>
            <w:r>
              <w:rPr>
                <w:rFonts w:asciiTheme="minorHAnsi" w:hAnsiTheme="minorHAnsi"/>
                <w:sz w:val="20"/>
                <w:szCs w:val="20"/>
                <w:u w:val="single"/>
              </w:rPr>
              <w:t>F</w:t>
            </w:r>
            <w:r>
              <w:rPr>
                <w:rFonts w:asciiTheme="minorHAnsi" w:hAnsiTheme="minorHAnsi"/>
                <w:sz w:val="20"/>
                <w:szCs w:val="20"/>
              </w:rPr>
              <w:t>i</w:t>
            </w:r>
            <w:r>
              <w:rPr>
                <w:rFonts w:asciiTheme="minorHAnsi" w:hAnsiTheme="minorHAnsi"/>
                <w:sz w:val="20"/>
                <w:szCs w:val="20"/>
                <w:u w:val="single"/>
              </w:rPr>
              <w:t>x</w:t>
            </w:r>
            <w:r>
              <w:rPr>
                <w:rFonts w:asciiTheme="minorHAnsi" w:hAnsiTheme="minorHAnsi"/>
                <w:sz w:val="20"/>
                <w:szCs w:val="20"/>
              </w:rPr>
              <w:t xml:space="preserve">ed Visual </w:t>
            </w:r>
            <w:r>
              <w:rPr>
                <w:rFonts w:asciiTheme="minorHAnsi" w:hAnsiTheme="minorHAnsi"/>
                <w:sz w:val="20"/>
                <w:szCs w:val="20"/>
                <w:u w:val="single"/>
              </w:rPr>
              <w:t>A</w:t>
            </w:r>
            <w:r>
              <w:rPr>
                <w:rFonts w:asciiTheme="minorHAnsi" w:hAnsiTheme="minorHAnsi"/>
                <w:sz w:val="20"/>
                <w:szCs w:val="20"/>
              </w:rPr>
              <w:t>ids Service (FXA)</w:t>
            </w:r>
          </w:p>
        </w:tc>
        <w:tc>
          <w:tcPr>
            <w:tcW w:w="960" w:type="dxa"/>
            <w:tcBorders>
              <w:top w:val="nil"/>
            </w:tcBorders>
            <w:shd w:val="clear" w:color="auto" w:fill="auto"/>
            <w:tcMar>
              <w:left w:w="23" w:type="dxa"/>
            </w:tcMar>
            <w:vAlign w:val="center"/>
          </w:tcPr>
          <w:p w:rsidR="006904E2" w:rsidRDefault="006904E2">
            <w:pPr>
              <w:pStyle w:val="BodyText"/>
              <w:jc w:val="center"/>
              <w:rPr>
                <w:rFonts w:asciiTheme="minorHAnsi" w:hAnsiTheme="minorHAnsi"/>
                <w:sz w:val="20"/>
                <w:szCs w:val="20"/>
              </w:rPr>
            </w:pPr>
          </w:p>
        </w:tc>
        <w:tc>
          <w:tcPr>
            <w:tcW w:w="1921" w:type="dxa"/>
            <w:tcBorders>
              <w:top w:val="nil"/>
            </w:tcBorders>
            <w:shd w:val="clear" w:color="auto" w:fill="auto"/>
            <w:tcMar>
              <w:left w:w="23" w:type="dxa"/>
            </w:tcMar>
          </w:tcPr>
          <w:p w:rsidR="006904E2" w:rsidRDefault="00010018">
            <w:pPr>
              <w:pStyle w:val="BodyText"/>
              <w:jc w:val="center"/>
            </w:pPr>
            <w:r>
              <w:rPr>
                <w:rFonts w:asciiTheme="minorHAnsi" w:hAnsiTheme="minorHAnsi"/>
                <w:sz w:val="20"/>
                <w:szCs w:val="20"/>
              </w:rPr>
              <w:t>IALA Guideline 1114, chapter 3</w:t>
            </w:r>
          </w:p>
        </w:tc>
        <w:tc>
          <w:tcPr>
            <w:tcW w:w="975" w:type="dxa"/>
            <w:tcBorders>
              <w:top w:val="nil"/>
            </w:tcBorders>
            <w:shd w:val="clear" w:color="auto" w:fill="auto"/>
            <w:tcMar>
              <w:left w:w="23" w:type="dxa"/>
            </w:tcMar>
          </w:tcPr>
          <w:p w:rsidR="006904E2" w:rsidRDefault="006904E2">
            <w:pPr>
              <w:pStyle w:val="BodyText"/>
              <w:jc w:val="center"/>
              <w:rPr>
                <w:rFonts w:asciiTheme="minorHAnsi" w:hAnsiTheme="minorHAnsi"/>
                <w:sz w:val="20"/>
                <w:szCs w:val="20"/>
              </w:rPr>
            </w:pPr>
          </w:p>
        </w:tc>
        <w:tc>
          <w:tcPr>
            <w:tcW w:w="4365" w:type="dxa"/>
            <w:tcBorders>
              <w:top w:val="nil"/>
            </w:tcBorders>
            <w:shd w:val="clear" w:color="auto" w:fill="auto"/>
            <w:tcMar>
              <w:left w:w="23" w:type="dxa"/>
            </w:tcMar>
          </w:tcPr>
          <w:p w:rsidR="006904E2" w:rsidRDefault="00010018">
            <w:pPr>
              <w:pStyle w:val="BodyText"/>
              <w:spacing w:after="0"/>
            </w:pPr>
            <w:r>
              <w:rPr>
                <w:rFonts w:asciiTheme="minorHAnsi" w:hAnsiTheme="minorHAnsi"/>
                <w:sz w:val="20"/>
                <w:szCs w:val="20"/>
              </w:rPr>
              <w:t xml:space="preserve">In the context of the Common Shore-based System Architecture (CSSA), </w:t>
            </w:r>
            <w:proofErr w:type="gramStart"/>
            <w:r>
              <w:rPr>
                <w:rFonts w:asciiTheme="minorHAnsi" w:hAnsiTheme="minorHAnsi"/>
                <w:sz w:val="20"/>
                <w:szCs w:val="20"/>
              </w:rPr>
              <w:t xml:space="preserve">the  </w:t>
            </w:r>
            <w:r>
              <w:rPr>
                <w:rFonts w:asciiTheme="minorHAnsi" w:hAnsiTheme="minorHAnsi"/>
                <w:sz w:val="20"/>
                <w:szCs w:val="20"/>
                <w:u w:val="single"/>
              </w:rPr>
              <w:t>F</w:t>
            </w:r>
            <w:r>
              <w:rPr>
                <w:rFonts w:asciiTheme="minorHAnsi" w:hAnsiTheme="minorHAnsi"/>
                <w:sz w:val="20"/>
                <w:szCs w:val="20"/>
              </w:rPr>
              <w:t>i</w:t>
            </w:r>
            <w:r>
              <w:rPr>
                <w:rFonts w:asciiTheme="minorHAnsi" w:hAnsiTheme="minorHAnsi"/>
                <w:sz w:val="20"/>
                <w:szCs w:val="20"/>
                <w:u w:val="single"/>
              </w:rPr>
              <w:t>x</w:t>
            </w:r>
            <w:r>
              <w:rPr>
                <w:rFonts w:asciiTheme="minorHAnsi" w:hAnsiTheme="minorHAnsi"/>
                <w:sz w:val="20"/>
                <w:szCs w:val="20"/>
              </w:rPr>
              <w:t>ed</w:t>
            </w:r>
            <w:proofErr w:type="gramEnd"/>
            <w:r>
              <w:rPr>
                <w:rFonts w:asciiTheme="minorHAnsi" w:hAnsiTheme="minorHAnsi"/>
                <w:sz w:val="20"/>
                <w:szCs w:val="20"/>
              </w:rPr>
              <w:t xml:space="preserve"> Visual </w:t>
            </w:r>
            <w:r>
              <w:rPr>
                <w:rFonts w:asciiTheme="minorHAnsi" w:hAnsiTheme="minorHAnsi"/>
                <w:sz w:val="20"/>
                <w:szCs w:val="20"/>
                <w:u w:val="single"/>
              </w:rPr>
              <w:t>A</w:t>
            </w:r>
            <w:r>
              <w:rPr>
                <w:rFonts w:asciiTheme="minorHAnsi" w:hAnsiTheme="minorHAnsi"/>
                <w:sz w:val="20"/>
                <w:szCs w:val="20"/>
              </w:rPr>
              <w:t>ids Service (FXA) provides  fixed  visual  Aids-</w:t>
            </w:r>
            <w:proofErr w:type="spellStart"/>
            <w:r>
              <w:rPr>
                <w:rFonts w:asciiTheme="minorHAnsi" w:hAnsiTheme="minorHAnsi"/>
                <w:sz w:val="20"/>
                <w:szCs w:val="20"/>
              </w:rPr>
              <w:t>toNavigation</w:t>
            </w:r>
            <w:proofErr w:type="spellEnd"/>
            <w:r>
              <w:rPr>
                <w:rFonts w:asciiTheme="minorHAnsi" w:hAnsiTheme="minorHAnsi"/>
                <w:sz w:val="20"/>
                <w:szCs w:val="20"/>
              </w:rPr>
              <w:t xml:space="preserve"> to the mariner. On site racons and / or on site AtoN AIS stations would </w:t>
            </w:r>
            <w:proofErr w:type="gramStart"/>
            <w:r>
              <w:rPr>
                <w:rFonts w:asciiTheme="minorHAnsi" w:hAnsiTheme="minorHAnsi"/>
                <w:sz w:val="20"/>
                <w:szCs w:val="20"/>
              </w:rPr>
              <w:t>conceptually  be</w:t>
            </w:r>
            <w:proofErr w:type="gramEnd"/>
            <w:r>
              <w:rPr>
                <w:rFonts w:asciiTheme="minorHAnsi" w:hAnsiTheme="minorHAnsi"/>
                <w:sz w:val="20"/>
                <w:szCs w:val="20"/>
              </w:rPr>
              <w:t xml:space="preserve"> a part of the FXA.</w:t>
            </w:r>
          </w:p>
        </w:tc>
        <w:tc>
          <w:tcPr>
            <w:tcW w:w="1081" w:type="dxa"/>
            <w:tcBorders>
              <w:top w:val="nil"/>
            </w:tcBorders>
            <w:shd w:val="clear" w:color="auto" w:fill="auto"/>
            <w:tcMar>
              <w:left w:w="23" w:type="dxa"/>
            </w:tcMar>
          </w:tcPr>
          <w:p w:rsidR="006904E2" w:rsidRDefault="006904E2">
            <w:pPr>
              <w:pStyle w:val="BodyText"/>
              <w:jc w:val="left"/>
              <w:rPr>
                <w:rFonts w:asciiTheme="minorHAnsi" w:hAnsiTheme="minorHAnsi"/>
                <w:sz w:val="20"/>
                <w:szCs w:val="20"/>
              </w:rPr>
            </w:pPr>
          </w:p>
        </w:tc>
        <w:tc>
          <w:tcPr>
            <w:tcW w:w="1125" w:type="dxa"/>
            <w:tcBorders>
              <w:top w:val="nil"/>
            </w:tcBorders>
            <w:shd w:val="clear" w:color="auto" w:fill="auto"/>
            <w:tcMar>
              <w:left w:w="23" w:type="dxa"/>
            </w:tcMar>
            <w:vAlign w:val="center"/>
          </w:tcPr>
          <w:p w:rsidR="006904E2" w:rsidRDefault="006904E2">
            <w:pPr>
              <w:pStyle w:val="BodyText"/>
              <w:jc w:val="left"/>
              <w:rPr>
                <w:rFonts w:asciiTheme="minorHAnsi" w:hAnsiTheme="minorHAnsi"/>
                <w:sz w:val="20"/>
                <w:szCs w:val="20"/>
              </w:rPr>
            </w:pPr>
          </w:p>
        </w:tc>
        <w:tc>
          <w:tcPr>
            <w:tcW w:w="997" w:type="dxa"/>
            <w:tcBorders>
              <w:top w:val="nil"/>
            </w:tcBorders>
            <w:shd w:val="clear" w:color="auto" w:fill="auto"/>
            <w:tcMar>
              <w:left w:w="23" w:type="dxa"/>
            </w:tcMar>
          </w:tcPr>
          <w:p w:rsidR="006904E2" w:rsidRDefault="00010018">
            <w:pPr>
              <w:pStyle w:val="BodyText"/>
              <w:jc w:val="left"/>
              <w:rPr>
                <w:rFonts w:asciiTheme="minorHAnsi" w:hAnsiTheme="minorHAnsi"/>
                <w:sz w:val="20"/>
                <w:szCs w:val="20"/>
              </w:rPr>
            </w:pPr>
            <w:r>
              <w:rPr>
                <w:rFonts w:ascii="Calibri" w:hAnsi="Calibri"/>
                <w:sz w:val="20"/>
                <w:szCs w:val="20"/>
              </w:rPr>
              <w:t xml:space="preserve">New term </w:t>
            </w:r>
          </w:p>
        </w:tc>
        <w:tc>
          <w:tcPr>
            <w:tcW w:w="1072" w:type="dxa"/>
            <w:tcBorders>
              <w:top w:val="nil"/>
            </w:tcBorders>
            <w:shd w:val="clear" w:color="auto" w:fill="auto"/>
            <w:tcMar>
              <w:left w:w="23" w:type="dxa"/>
            </w:tcMar>
          </w:tcPr>
          <w:p w:rsidR="006904E2" w:rsidRDefault="00010018">
            <w:pPr>
              <w:pStyle w:val="BodyText"/>
              <w:jc w:val="left"/>
              <w:rPr>
                <w:rFonts w:asciiTheme="minorHAnsi" w:hAnsiTheme="minorHAnsi"/>
                <w:sz w:val="20"/>
                <w:szCs w:val="20"/>
              </w:rPr>
            </w:pPr>
            <w:r>
              <w:rPr>
                <w:rFonts w:ascii="Calibri" w:hAnsi="Calibri"/>
                <w:sz w:val="20"/>
                <w:szCs w:val="20"/>
              </w:rPr>
              <w:t>May 2015</w:t>
            </w:r>
          </w:p>
        </w:tc>
        <w:tc>
          <w:tcPr>
            <w:tcW w:w="924" w:type="dxa"/>
            <w:tcBorders>
              <w:top w:val="nil"/>
            </w:tcBorders>
            <w:shd w:val="clear" w:color="auto" w:fill="auto"/>
            <w:tcMar>
              <w:left w:w="23" w:type="dxa"/>
            </w:tcMar>
          </w:tcPr>
          <w:p w:rsidR="006904E2" w:rsidRDefault="00010018">
            <w:pPr>
              <w:pStyle w:val="BodyText"/>
              <w:rPr>
                <w:rFonts w:asciiTheme="minorHAnsi" w:hAnsiTheme="minorHAnsi"/>
                <w:sz w:val="20"/>
                <w:szCs w:val="20"/>
              </w:rPr>
            </w:pPr>
            <w:r>
              <w:rPr>
                <w:rFonts w:ascii="Calibri" w:hAnsi="Calibri"/>
                <w:sz w:val="20"/>
                <w:szCs w:val="20"/>
              </w:rPr>
              <w:t>IALA Council approved</w:t>
            </w:r>
          </w:p>
        </w:tc>
      </w:tr>
      <w:tr w:rsidR="006904E2">
        <w:tc>
          <w:tcPr>
            <w:tcW w:w="1364" w:type="dxa"/>
            <w:tcBorders>
              <w:top w:val="nil"/>
            </w:tcBorders>
            <w:shd w:val="clear" w:color="auto" w:fill="auto"/>
            <w:tcMar>
              <w:left w:w="23" w:type="dxa"/>
            </w:tcMar>
          </w:tcPr>
          <w:p w:rsidR="006904E2" w:rsidRDefault="00010018">
            <w:pPr>
              <w:pStyle w:val="BodyText"/>
              <w:spacing w:after="0"/>
              <w:rPr>
                <w:rFonts w:asciiTheme="minorHAnsi" w:hAnsiTheme="minorHAnsi"/>
                <w:sz w:val="20"/>
                <w:szCs w:val="20"/>
              </w:rPr>
            </w:pPr>
            <w:r>
              <w:rPr>
                <w:rFonts w:asciiTheme="minorHAnsi" w:hAnsiTheme="minorHAnsi"/>
                <w:sz w:val="20"/>
                <w:szCs w:val="20"/>
                <w:u w:val="single"/>
              </w:rPr>
              <w:t>Fl</w:t>
            </w:r>
            <w:r>
              <w:rPr>
                <w:rFonts w:asciiTheme="minorHAnsi" w:hAnsiTheme="minorHAnsi"/>
                <w:sz w:val="20"/>
                <w:szCs w:val="20"/>
              </w:rPr>
              <w:t xml:space="preserve">oating Visual </w:t>
            </w:r>
            <w:r>
              <w:rPr>
                <w:rFonts w:asciiTheme="minorHAnsi" w:hAnsiTheme="minorHAnsi"/>
                <w:sz w:val="20"/>
                <w:szCs w:val="20"/>
                <w:u w:val="single"/>
              </w:rPr>
              <w:t>A</w:t>
            </w:r>
            <w:r>
              <w:rPr>
                <w:rFonts w:asciiTheme="minorHAnsi" w:hAnsiTheme="minorHAnsi"/>
                <w:sz w:val="20"/>
                <w:szCs w:val="20"/>
              </w:rPr>
              <w:t xml:space="preserve">ids Service (FLA) </w:t>
            </w:r>
          </w:p>
        </w:tc>
        <w:tc>
          <w:tcPr>
            <w:tcW w:w="960" w:type="dxa"/>
            <w:tcBorders>
              <w:top w:val="nil"/>
            </w:tcBorders>
            <w:shd w:val="clear" w:color="auto" w:fill="auto"/>
            <w:tcMar>
              <w:left w:w="23" w:type="dxa"/>
            </w:tcMar>
            <w:vAlign w:val="center"/>
          </w:tcPr>
          <w:p w:rsidR="006904E2" w:rsidRDefault="006904E2">
            <w:pPr>
              <w:pStyle w:val="BodyText"/>
              <w:jc w:val="center"/>
              <w:rPr>
                <w:rFonts w:asciiTheme="minorHAnsi" w:hAnsiTheme="minorHAnsi"/>
                <w:sz w:val="20"/>
                <w:szCs w:val="20"/>
              </w:rPr>
            </w:pPr>
          </w:p>
        </w:tc>
        <w:tc>
          <w:tcPr>
            <w:tcW w:w="1921" w:type="dxa"/>
            <w:tcBorders>
              <w:top w:val="nil"/>
            </w:tcBorders>
            <w:shd w:val="clear" w:color="auto" w:fill="auto"/>
            <w:tcMar>
              <w:left w:w="23" w:type="dxa"/>
            </w:tcMar>
          </w:tcPr>
          <w:p w:rsidR="006904E2" w:rsidRDefault="00010018">
            <w:pPr>
              <w:pStyle w:val="BodyText"/>
              <w:jc w:val="center"/>
            </w:pPr>
            <w:r>
              <w:rPr>
                <w:rFonts w:asciiTheme="minorHAnsi" w:hAnsiTheme="minorHAnsi"/>
                <w:sz w:val="20"/>
                <w:szCs w:val="20"/>
              </w:rPr>
              <w:t>IALA Guideline 1114, chapter 3</w:t>
            </w:r>
          </w:p>
        </w:tc>
        <w:tc>
          <w:tcPr>
            <w:tcW w:w="975" w:type="dxa"/>
            <w:tcBorders>
              <w:top w:val="nil"/>
            </w:tcBorders>
            <w:shd w:val="clear" w:color="auto" w:fill="auto"/>
            <w:tcMar>
              <w:left w:w="23" w:type="dxa"/>
            </w:tcMar>
          </w:tcPr>
          <w:p w:rsidR="006904E2" w:rsidRDefault="006904E2">
            <w:pPr>
              <w:pStyle w:val="BodyText"/>
              <w:jc w:val="center"/>
              <w:rPr>
                <w:rFonts w:asciiTheme="minorHAnsi" w:hAnsiTheme="minorHAnsi"/>
                <w:sz w:val="20"/>
                <w:szCs w:val="20"/>
              </w:rPr>
            </w:pPr>
          </w:p>
        </w:tc>
        <w:tc>
          <w:tcPr>
            <w:tcW w:w="4365" w:type="dxa"/>
            <w:tcBorders>
              <w:top w:val="nil"/>
            </w:tcBorders>
            <w:shd w:val="clear" w:color="auto" w:fill="auto"/>
            <w:tcMar>
              <w:left w:w="23" w:type="dxa"/>
            </w:tcMar>
          </w:tcPr>
          <w:p w:rsidR="006904E2" w:rsidRDefault="00010018">
            <w:pPr>
              <w:pStyle w:val="BodyText"/>
              <w:spacing w:after="0"/>
            </w:pPr>
            <w:r>
              <w:rPr>
                <w:rFonts w:asciiTheme="minorHAnsi" w:hAnsiTheme="minorHAnsi"/>
                <w:sz w:val="20"/>
                <w:szCs w:val="20"/>
              </w:rPr>
              <w:t xml:space="preserve">In the context of the Common Shore-based System Architecture (CSSA), the </w:t>
            </w:r>
            <w:r>
              <w:rPr>
                <w:rFonts w:asciiTheme="minorHAnsi" w:hAnsiTheme="minorHAnsi"/>
                <w:sz w:val="20"/>
                <w:szCs w:val="20"/>
                <w:u w:val="single"/>
              </w:rPr>
              <w:t>Fl</w:t>
            </w:r>
            <w:r>
              <w:rPr>
                <w:rFonts w:asciiTheme="minorHAnsi" w:hAnsiTheme="minorHAnsi"/>
                <w:sz w:val="20"/>
                <w:szCs w:val="20"/>
              </w:rPr>
              <w:t xml:space="preserve">oating Visual </w:t>
            </w:r>
            <w:r>
              <w:rPr>
                <w:rFonts w:asciiTheme="minorHAnsi" w:hAnsiTheme="minorHAnsi"/>
                <w:sz w:val="20"/>
                <w:szCs w:val="20"/>
                <w:u w:val="single"/>
              </w:rPr>
              <w:t>A</w:t>
            </w:r>
            <w:r>
              <w:rPr>
                <w:rFonts w:asciiTheme="minorHAnsi" w:hAnsiTheme="minorHAnsi"/>
                <w:sz w:val="20"/>
                <w:szCs w:val="20"/>
              </w:rPr>
              <w:t xml:space="preserve">ids Service (FLA) </w:t>
            </w:r>
            <w:proofErr w:type="gramStart"/>
            <w:r>
              <w:rPr>
                <w:rFonts w:asciiTheme="minorHAnsi" w:hAnsiTheme="minorHAnsi"/>
                <w:sz w:val="20"/>
                <w:szCs w:val="20"/>
              </w:rPr>
              <w:t>provides  floating</w:t>
            </w:r>
            <w:proofErr w:type="gramEnd"/>
            <w:r>
              <w:rPr>
                <w:rFonts w:asciiTheme="minorHAnsi" w:hAnsiTheme="minorHAnsi"/>
                <w:sz w:val="20"/>
                <w:szCs w:val="20"/>
              </w:rPr>
              <w:t xml:space="preserve">  visual  Aids-</w:t>
            </w:r>
            <w:proofErr w:type="spellStart"/>
            <w:r>
              <w:rPr>
                <w:rFonts w:asciiTheme="minorHAnsi" w:hAnsiTheme="minorHAnsi"/>
                <w:sz w:val="20"/>
                <w:szCs w:val="20"/>
              </w:rPr>
              <w:t>toNavigation</w:t>
            </w:r>
            <w:proofErr w:type="spellEnd"/>
            <w:r>
              <w:rPr>
                <w:rFonts w:asciiTheme="minorHAnsi" w:hAnsiTheme="minorHAnsi"/>
                <w:sz w:val="20"/>
                <w:szCs w:val="20"/>
              </w:rPr>
              <w:t xml:space="preserve">  to  the  mariner.  On site racons and / or on site AtoN AIS stations would </w:t>
            </w:r>
            <w:proofErr w:type="gramStart"/>
            <w:r>
              <w:rPr>
                <w:rFonts w:asciiTheme="minorHAnsi" w:hAnsiTheme="minorHAnsi"/>
                <w:sz w:val="20"/>
                <w:szCs w:val="20"/>
              </w:rPr>
              <w:t>conceptually  be</w:t>
            </w:r>
            <w:proofErr w:type="gramEnd"/>
            <w:r>
              <w:rPr>
                <w:rFonts w:asciiTheme="minorHAnsi" w:hAnsiTheme="minorHAnsi"/>
                <w:sz w:val="20"/>
                <w:szCs w:val="20"/>
              </w:rPr>
              <w:t xml:space="preserve"> a part of the FLA.</w:t>
            </w:r>
          </w:p>
        </w:tc>
        <w:tc>
          <w:tcPr>
            <w:tcW w:w="1081" w:type="dxa"/>
            <w:tcBorders>
              <w:top w:val="nil"/>
            </w:tcBorders>
            <w:shd w:val="clear" w:color="auto" w:fill="auto"/>
            <w:tcMar>
              <w:left w:w="23" w:type="dxa"/>
            </w:tcMar>
          </w:tcPr>
          <w:p w:rsidR="006904E2" w:rsidRDefault="006904E2">
            <w:pPr>
              <w:pStyle w:val="BodyText"/>
              <w:jc w:val="left"/>
              <w:rPr>
                <w:rFonts w:asciiTheme="minorHAnsi" w:hAnsiTheme="minorHAnsi"/>
                <w:sz w:val="20"/>
                <w:szCs w:val="20"/>
              </w:rPr>
            </w:pPr>
          </w:p>
        </w:tc>
        <w:tc>
          <w:tcPr>
            <w:tcW w:w="1125" w:type="dxa"/>
            <w:tcBorders>
              <w:top w:val="nil"/>
            </w:tcBorders>
            <w:shd w:val="clear" w:color="auto" w:fill="auto"/>
            <w:tcMar>
              <w:left w:w="23" w:type="dxa"/>
            </w:tcMar>
            <w:vAlign w:val="center"/>
          </w:tcPr>
          <w:p w:rsidR="006904E2" w:rsidRDefault="006904E2">
            <w:pPr>
              <w:pStyle w:val="BodyText"/>
              <w:jc w:val="left"/>
              <w:rPr>
                <w:rFonts w:asciiTheme="minorHAnsi" w:hAnsiTheme="minorHAnsi"/>
                <w:sz w:val="20"/>
                <w:szCs w:val="20"/>
              </w:rPr>
            </w:pPr>
          </w:p>
        </w:tc>
        <w:tc>
          <w:tcPr>
            <w:tcW w:w="997" w:type="dxa"/>
            <w:tcBorders>
              <w:top w:val="nil"/>
            </w:tcBorders>
            <w:shd w:val="clear" w:color="auto" w:fill="auto"/>
            <w:tcMar>
              <w:left w:w="23" w:type="dxa"/>
            </w:tcMar>
          </w:tcPr>
          <w:p w:rsidR="006904E2" w:rsidRDefault="00010018">
            <w:pPr>
              <w:pStyle w:val="BodyText"/>
              <w:jc w:val="left"/>
              <w:rPr>
                <w:rFonts w:asciiTheme="minorHAnsi" w:hAnsiTheme="minorHAnsi"/>
                <w:sz w:val="20"/>
                <w:szCs w:val="20"/>
              </w:rPr>
            </w:pPr>
            <w:r>
              <w:rPr>
                <w:rFonts w:ascii="Calibri" w:hAnsi="Calibri"/>
                <w:sz w:val="20"/>
                <w:szCs w:val="20"/>
              </w:rPr>
              <w:t xml:space="preserve">New term </w:t>
            </w:r>
          </w:p>
        </w:tc>
        <w:tc>
          <w:tcPr>
            <w:tcW w:w="1072" w:type="dxa"/>
            <w:tcBorders>
              <w:top w:val="nil"/>
            </w:tcBorders>
            <w:shd w:val="clear" w:color="auto" w:fill="auto"/>
            <w:tcMar>
              <w:left w:w="23" w:type="dxa"/>
            </w:tcMar>
          </w:tcPr>
          <w:p w:rsidR="006904E2" w:rsidRDefault="00010018">
            <w:pPr>
              <w:pStyle w:val="BodyText"/>
              <w:jc w:val="left"/>
              <w:rPr>
                <w:rFonts w:asciiTheme="minorHAnsi" w:hAnsiTheme="minorHAnsi"/>
                <w:sz w:val="20"/>
                <w:szCs w:val="20"/>
              </w:rPr>
            </w:pPr>
            <w:r>
              <w:rPr>
                <w:rFonts w:ascii="Calibri" w:hAnsi="Calibri"/>
                <w:sz w:val="20"/>
                <w:szCs w:val="20"/>
              </w:rPr>
              <w:t>May 2015</w:t>
            </w:r>
          </w:p>
        </w:tc>
        <w:tc>
          <w:tcPr>
            <w:tcW w:w="924" w:type="dxa"/>
            <w:tcBorders>
              <w:top w:val="nil"/>
            </w:tcBorders>
            <w:shd w:val="clear" w:color="auto" w:fill="auto"/>
            <w:tcMar>
              <w:left w:w="23" w:type="dxa"/>
            </w:tcMar>
          </w:tcPr>
          <w:p w:rsidR="006904E2" w:rsidRDefault="00010018">
            <w:pPr>
              <w:pStyle w:val="BodyText"/>
              <w:rPr>
                <w:rFonts w:asciiTheme="minorHAnsi" w:hAnsiTheme="minorHAnsi"/>
                <w:sz w:val="20"/>
                <w:szCs w:val="20"/>
              </w:rPr>
            </w:pPr>
            <w:r>
              <w:rPr>
                <w:rFonts w:ascii="Calibri" w:hAnsi="Calibri"/>
                <w:sz w:val="20"/>
                <w:szCs w:val="20"/>
              </w:rPr>
              <w:t>IALA Council approved</w:t>
            </w:r>
          </w:p>
        </w:tc>
      </w:tr>
      <w:tr w:rsidR="006904E2">
        <w:tc>
          <w:tcPr>
            <w:tcW w:w="1364" w:type="dxa"/>
            <w:tcBorders>
              <w:top w:val="nil"/>
            </w:tcBorders>
            <w:shd w:val="clear" w:color="auto" w:fill="auto"/>
            <w:tcMar>
              <w:left w:w="23" w:type="dxa"/>
            </w:tcMar>
          </w:tcPr>
          <w:p w:rsidR="006904E2" w:rsidRDefault="00010018">
            <w:pPr>
              <w:pStyle w:val="BodyText"/>
              <w:spacing w:after="0"/>
              <w:rPr>
                <w:rFonts w:asciiTheme="minorHAnsi" w:hAnsiTheme="minorHAnsi"/>
                <w:sz w:val="20"/>
                <w:szCs w:val="20"/>
              </w:rPr>
            </w:pPr>
            <w:r>
              <w:rPr>
                <w:rFonts w:asciiTheme="minorHAnsi" w:hAnsiTheme="minorHAnsi"/>
                <w:sz w:val="20"/>
                <w:szCs w:val="20"/>
              </w:rPr>
              <w:t xml:space="preserve">CCTV </w:t>
            </w:r>
            <w:r>
              <w:rPr>
                <w:rFonts w:asciiTheme="minorHAnsi" w:hAnsiTheme="minorHAnsi"/>
                <w:sz w:val="20"/>
                <w:szCs w:val="20"/>
                <w:u w:val="single"/>
              </w:rPr>
              <w:t>Vid</w:t>
            </w:r>
            <w:r>
              <w:rPr>
                <w:rFonts w:asciiTheme="minorHAnsi" w:hAnsiTheme="minorHAnsi"/>
                <w:sz w:val="20"/>
                <w:szCs w:val="20"/>
              </w:rPr>
              <w:t>eo Service (VID)</w:t>
            </w:r>
          </w:p>
        </w:tc>
        <w:tc>
          <w:tcPr>
            <w:tcW w:w="960" w:type="dxa"/>
            <w:tcBorders>
              <w:top w:val="nil"/>
            </w:tcBorders>
            <w:shd w:val="clear" w:color="auto" w:fill="auto"/>
            <w:tcMar>
              <w:left w:w="23" w:type="dxa"/>
            </w:tcMar>
            <w:vAlign w:val="center"/>
          </w:tcPr>
          <w:p w:rsidR="006904E2" w:rsidRDefault="006904E2">
            <w:pPr>
              <w:pStyle w:val="BodyText"/>
              <w:jc w:val="center"/>
              <w:rPr>
                <w:rFonts w:asciiTheme="minorHAnsi" w:hAnsiTheme="minorHAnsi"/>
                <w:sz w:val="20"/>
                <w:szCs w:val="20"/>
              </w:rPr>
            </w:pPr>
          </w:p>
        </w:tc>
        <w:tc>
          <w:tcPr>
            <w:tcW w:w="1921" w:type="dxa"/>
            <w:tcBorders>
              <w:top w:val="nil"/>
            </w:tcBorders>
            <w:shd w:val="clear" w:color="auto" w:fill="auto"/>
            <w:tcMar>
              <w:left w:w="23" w:type="dxa"/>
            </w:tcMar>
          </w:tcPr>
          <w:p w:rsidR="006904E2" w:rsidRDefault="00010018">
            <w:pPr>
              <w:pStyle w:val="BodyText"/>
              <w:jc w:val="center"/>
            </w:pPr>
            <w:r>
              <w:rPr>
                <w:rFonts w:asciiTheme="minorHAnsi" w:hAnsiTheme="minorHAnsi"/>
                <w:sz w:val="20"/>
                <w:szCs w:val="20"/>
              </w:rPr>
              <w:t>IALA Guideline 1114, chapter 3</w:t>
            </w:r>
          </w:p>
        </w:tc>
        <w:tc>
          <w:tcPr>
            <w:tcW w:w="975" w:type="dxa"/>
            <w:tcBorders>
              <w:top w:val="nil"/>
            </w:tcBorders>
            <w:shd w:val="clear" w:color="auto" w:fill="auto"/>
            <w:tcMar>
              <w:left w:w="23" w:type="dxa"/>
            </w:tcMar>
          </w:tcPr>
          <w:p w:rsidR="006904E2" w:rsidRDefault="006904E2">
            <w:pPr>
              <w:pStyle w:val="BodyText"/>
              <w:jc w:val="center"/>
              <w:rPr>
                <w:rFonts w:asciiTheme="minorHAnsi" w:hAnsiTheme="minorHAnsi"/>
                <w:sz w:val="20"/>
                <w:szCs w:val="20"/>
              </w:rPr>
            </w:pPr>
          </w:p>
        </w:tc>
        <w:tc>
          <w:tcPr>
            <w:tcW w:w="4365" w:type="dxa"/>
            <w:tcBorders>
              <w:top w:val="nil"/>
            </w:tcBorders>
            <w:shd w:val="clear" w:color="auto" w:fill="auto"/>
            <w:tcMar>
              <w:left w:w="23" w:type="dxa"/>
            </w:tcMar>
          </w:tcPr>
          <w:p w:rsidR="006904E2" w:rsidRDefault="00010018">
            <w:pPr>
              <w:pStyle w:val="BodyText"/>
              <w:spacing w:after="0"/>
            </w:pPr>
            <w:r>
              <w:rPr>
                <w:rFonts w:asciiTheme="minorHAnsi" w:hAnsiTheme="minorHAnsi"/>
                <w:sz w:val="20"/>
                <w:szCs w:val="20"/>
              </w:rPr>
              <w:t xml:space="preserve">In the context of the Common Shore-based System Architecture (CSSA), the CCTV </w:t>
            </w:r>
            <w:r>
              <w:rPr>
                <w:rFonts w:asciiTheme="minorHAnsi" w:hAnsiTheme="minorHAnsi"/>
                <w:sz w:val="20"/>
                <w:szCs w:val="20"/>
                <w:u w:val="single"/>
              </w:rPr>
              <w:t>Vid</w:t>
            </w:r>
            <w:r>
              <w:rPr>
                <w:rFonts w:asciiTheme="minorHAnsi" w:hAnsiTheme="minorHAnsi"/>
                <w:sz w:val="20"/>
                <w:szCs w:val="20"/>
              </w:rPr>
              <w:t xml:space="preserve">eo Service (VID) </w:t>
            </w:r>
            <w:proofErr w:type="gramStart"/>
            <w:r>
              <w:rPr>
                <w:rFonts w:asciiTheme="minorHAnsi" w:hAnsiTheme="minorHAnsi"/>
                <w:sz w:val="20"/>
                <w:szCs w:val="20"/>
              </w:rPr>
              <w:t>provides  the</w:t>
            </w:r>
            <w:proofErr w:type="gramEnd"/>
            <w:r>
              <w:rPr>
                <w:rFonts w:asciiTheme="minorHAnsi" w:hAnsiTheme="minorHAnsi"/>
                <w:sz w:val="20"/>
                <w:szCs w:val="20"/>
              </w:rPr>
              <w:t xml:space="preserve">  CSS  with  the  capability  to visually observe the areas of waterways covered by video camera observation.</w:t>
            </w:r>
          </w:p>
        </w:tc>
        <w:tc>
          <w:tcPr>
            <w:tcW w:w="1081" w:type="dxa"/>
            <w:tcBorders>
              <w:top w:val="nil"/>
            </w:tcBorders>
            <w:shd w:val="clear" w:color="auto" w:fill="auto"/>
            <w:tcMar>
              <w:left w:w="23" w:type="dxa"/>
            </w:tcMar>
          </w:tcPr>
          <w:p w:rsidR="006904E2" w:rsidRDefault="006904E2">
            <w:pPr>
              <w:pStyle w:val="BodyText"/>
              <w:jc w:val="left"/>
              <w:rPr>
                <w:rFonts w:asciiTheme="minorHAnsi" w:hAnsiTheme="minorHAnsi"/>
                <w:sz w:val="20"/>
                <w:szCs w:val="20"/>
              </w:rPr>
            </w:pPr>
          </w:p>
        </w:tc>
        <w:tc>
          <w:tcPr>
            <w:tcW w:w="1125" w:type="dxa"/>
            <w:tcBorders>
              <w:top w:val="nil"/>
            </w:tcBorders>
            <w:shd w:val="clear" w:color="auto" w:fill="auto"/>
            <w:tcMar>
              <w:left w:w="23" w:type="dxa"/>
            </w:tcMar>
            <w:vAlign w:val="center"/>
          </w:tcPr>
          <w:p w:rsidR="006904E2" w:rsidRDefault="006904E2">
            <w:pPr>
              <w:pStyle w:val="BodyText"/>
              <w:jc w:val="left"/>
              <w:rPr>
                <w:rFonts w:asciiTheme="minorHAnsi" w:hAnsiTheme="minorHAnsi"/>
                <w:sz w:val="20"/>
                <w:szCs w:val="20"/>
              </w:rPr>
            </w:pPr>
          </w:p>
        </w:tc>
        <w:tc>
          <w:tcPr>
            <w:tcW w:w="997" w:type="dxa"/>
            <w:tcBorders>
              <w:top w:val="nil"/>
            </w:tcBorders>
            <w:shd w:val="clear" w:color="auto" w:fill="auto"/>
            <w:tcMar>
              <w:left w:w="23" w:type="dxa"/>
            </w:tcMar>
          </w:tcPr>
          <w:p w:rsidR="006904E2" w:rsidRDefault="00010018">
            <w:pPr>
              <w:pStyle w:val="BodyText"/>
              <w:jc w:val="left"/>
              <w:rPr>
                <w:rFonts w:asciiTheme="minorHAnsi" w:hAnsiTheme="minorHAnsi"/>
                <w:sz w:val="20"/>
                <w:szCs w:val="20"/>
              </w:rPr>
            </w:pPr>
            <w:r>
              <w:rPr>
                <w:rFonts w:ascii="Calibri" w:hAnsi="Calibri"/>
                <w:sz w:val="20"/>
                <w:szCs w:val="20"/>
              </w:rPr>
              <w:t xml:space="preserve">New term </w:t>
            </w:r>
          </w:p>
        </w:tc>
        <w:tc>
          <w:tcPr>
            <w:tcW w:w="1072" w:type="dxa"/>
            <w:tcBorders>
              <w:top w:val="nil"/>
            </w:tcBorders>
            <w:shd w:val="clear" w:color="auto" w:fill="auto"/>
            <w:tcMar>
              <w:left w:w="23" w:type="dxa"/>
            </w:tcMar>
          </w:tcPr>
          <w:p w:rsidR="006904E2" w:rsidRDefault="00010018">
            <w:pPr>
              <w:pStyle w:val="BodyText"/>
              <w:jc w:val="left"/>
              <w:rPr>
                <w:rFonts w:asciiTheme="minorHAnsi" w:hAnsiTheme="minorHAnsi"/>
                <w:sz w:val="20"/>
                <w:szCs w:val="20"/>
              </w:rPr>
            </w:pPr>
            <w:r>
              <w:rPr>
                <w:rFonts w:ascii="Calibri" w:hAnsi="Calibri"/>
                <w:sz w:val="20"/>
                <w:szCs w:val="20"/>
              </w:rPr>
              <w:t>May 2015</w:t>
            </w:r>
          </w:p>
        </w:tc>
        <w:tc>
          <w:tcPr>
            <w:tcW w:w="924" w:type="dxa"/>
            <w:tcBorders>
              <w:top w:val="nil"/>
            </w:tcBorders>
            <w:shd w:val="clear" w:color="auto" w:fill="auto"/>
            <w:tcMar>
              <w:left w:w="23" w:type="dxa"/>
            </w:tcMar>
          </w:tcPr>
          <w:p w:rsidR="006904E2" w:rsidRDefault="00010018">
            <w:pPr>
              <w:pStyle w:val="BodyText"/>
              <w:rPr>
                <w:rFonts w:asciiTheme="minorHAnsi" w:hAnsiTheme="minorHAnsi"/>
                <w:sz w:val="20"/>
                <w:szCs w:val="20"/>
              </w:rPr>
            </w:pPr>
            <w:r>
              <w:rPr>
                <w:rFonts w:ascii="Calibri" w:hAnsi="Calibri"/>
                <w:sz w:val="20"/>
                <w:szCs w:val="20"/>
              </w:rPr>
              <w:t>IALA Council approved</w:t>
            </w:r>
          </w:p>
        </w:tc>
      </w:tr>
      <w:tr w:rsidR="006904E2">
        <w:tc>
          <w:tcPr>
            <w:tcW w:w="1364" w:type="dxa"/>
            <w:tcBorders>
              <w:top w:val="nil"/>
            </w:tcBorders>
            <w:shd w:val="clear" w:color="auto" w:fill="auto"/>
            <w:tcMar>
              <w:left w:w="23" w:type="dxa"/>
            </w:tcMar>
          </w:tcPr>
          <w:p w:rsidR="006904E2" w:rsidRDefault="00010018">
            <w:pPr>
              <w:pStyle w:val="BodyText"/>
              <w:spacing w:after="0"/>
              <w:rPr>
                <w:rFonts w:asciiTheme="minorHAnsi" w:hAnsiTheme="minorHAnsi"/>
                <w:sz w:val="20"/>
                <w:szCs w:val="20"/>
              </w:rPr>
            </w:pPr>
            <w:r>
              <w:rPr>
                <w:rFonts w:asciiTheme="minorHAnsi" w:hAnsiTheme="minorHAnsi"/>
                <w:sz w:val="20"/>
                <w:szCs w:val="20"/>
                <w:u w:val="single"/>
              </w:rPr>
              <w:t>L</w:t>
            </w:r>
            <w:r>
              <w:rPr>
                <w:rFonts w:asciiTheme="minorHAnsi" w:hAnsiTheme="minorHAnsi"/>
                <w:sz w:val="20"/>
                <w:szCs w:val="20"/>
              </w:rPr>
              <w:t xml:space="preserve">ocal </w:t>
            </w:r>
            <w:r>
              <w:rPr>
                <w:rFonts w:asciiTheme="minorHAnsi" w:hAnsiTheme="minorHAnsi"/>
                <w:sz w:val="20"/>
                <w:szCs w:val="20"/>
                <w:u w:val="single"/>
              </w:rPr>
              <w:t>P</w:t>
            </w:r>
            <w:r>
              <w:rPr>
                <w:rFonts w:asciiTheme="minorHAnsi" w:hAnsiTheme="minorHAnsi"/>
                <w:sz w:val="20"/>
                <w:szCs w:val="20"/>
              </w:rPr>
              <w:t xml:space="preserve">ublic </w:t>
            </w:r>
            <w:r>
              <w:rPr>
                <w:rFonts w:asciiTheme="minorHAnsi" w:hAnsiTheme="minorHAnsi"/>
                <w:sz w:val="20"/>
                <w:szCs w:val="20"/>
                <w:u w:val="single"/>
              </w:rPr>
              <w:t>A</w:t>
            </w:r>
            <w:r>
              <w:rPr>
                <w:rFonts w:asciiTheme="minorHAnsi" w:hAnsiTheme="minorHAnsi"/>
                <w:sz w:val="20"/>
                <w:szCs w:val="20"/>
              </w:rPr>
              <w:t>ddress Service (LPA)</w:t>
            </w:r>
          </w:p>
        </w:tc>
        <w:tc>
          <w:tcPr>
            <w:tcW w:w="960" w:type="dxa"/>
            <w:tcBorders>
              <w:top w:val="nil"/>
            </w:tcBorders>
            <w:shd w:val="clear" w:color="auto" w:fill="auto"/>
            <w:tcMar>
              <w:left w:w="23" w:type="dxa"/>
            </w:tcMar>
            <w:vAlign w:val="center"/>
          </w:tcPr>
          <w:p w:rsidR="006904E2" w:rsidRDefault="006904E2">
            <w:pPr>
              <w:pStyle w:val="BodyText"/>
              <w:jc w:val="center"/>
              <w:rPr>
                <w:rFonts w:asciiTheme="minorHAnsi" w:hAnsiTheme="minorHAnsi"/>
                <w:sz w:val="20"/>
                <w:szCs w:val="20"/>
              </w:rPr>
            </w:pPr>
          </w:p>
        </w:tc>
        <w:tc>
          <w:tcPr>
            <w:tcW w:w="1921" w:type="dxa"/>
            <w:tcBorders>
              <w:top w:val="nil"/>
            </w:tcBorders>
            <w:shd w:val="clear" w:color="auto" w:fill="auto"/>
            <w:tcMar>
              <w:left w:w="23" w:type="dxa"/>
            </w:tcMar>
          </w:tcPr>
          <w:p w:rsidR="006904E2" w:rsidRDefault="00010018">
            <w:pPr>
              <w:pStyle w:val="BodyText"/>
              <w:jc w:val="center"/>
            </w:pPr>
            <w:r>
              <w:rPr>
                <w:rFonts w:asciiTheme="minorHAnsi" w:hAnsiTheme="minorHAnsi"/>
                <w:sz w:val="20"/>
                <w:szCs w:val="20"/>
              </w:rPr>
              <w:t>IALA Guideline 1114, chapter 3</w:t>
            </w:r>
          </w:p>
        </w:tc>
        <w:tc>
          <w:tcPr>
            <w:tcW w:w="975" w:type="dxa"/>
            <w:tcBorders>
              <w:top w:val="nil"/>
            </w:tcBorders>
            <w:shd w:val="clear" w:color="auto" w:fill="auto"/>
            <w:tcMar>
              <w:left w:w="23" w:type="dxa"/>
            </w:tcMar>
          </w:tcPr>
          <w:p w:rsidR="006904E2" w:rsidRDefault="006904E2">
            <w:pPr>
              <w:pStyle w:val="BodyText"/>
              <w:jc w:val="center"/>
              <w:rPr>
                <w:rFonts w:asciiTheme="minorHAnsi" w:hAnsiTheme="minorHAnsi"/>
                <w:sz w:val="20"/>
                <w:szCs w:val="20"/>
              </w:rPr>
            </w:pPr>
          </w:p>
        </w:tc>
        <w:tc>
          <w:tcPr>
            <w:tcW w:w="4365" w:type="dxa"/>
            <w:tcBorders>
              <w:top w:val="nil"/>
            </w:tcBorders>
            <w:shd w:val="clear" w:color="auto" w:fill="auto"/>
            <w:tcMar>
              <w:left w:w="23" w:type="dxa"/>
            </w:tcMar>
          </w:tcPr>
          <w:p w:rsidR="006904E2" w:rsidRDefault="00010018">
            <w:pPr>
              <w:pStyle w:val="BodyText"/>
              <w:spacing w:after="0"/>
            </w:pPr>
            <w:r>
              <w:rPr>
                <w:rFonts w:asciiTheme="minorHAnsi" w:hAnsiTheme="minorHAnsi"/>
                <w:sz w:val="20"/>
                <w:szCs w:val="20"/>
              </w:rPr>
              <w:t xml:space="preserve">In the context of the Common Shore-based System Architecture (CSSA), the </w:t>
            </w:r>
            <w:r>
              <w:rPr>
                <w:rFonts w:asciiTheme="minorHAnsi" w:hAnsiTheme="minorHAnsi"/>
                <w:sz w:val="20"/>
                <w:szCs w:val="20"/>
                <w:u w:val="single"/>
              </w:rPr>
              <w:t>L</w:t>
            </w:r>
            <w:r>
              <w:rPr>
                <w:rFonts w:asciiTheme="minorHAnsi" w:hAnsiTheme="minorHAnsi"/>
                <w:sz w:val="20"/>
                <w:szCs w:val="20"/>
              </w:rPr>
              <w:t xml:space="preserve">ocal </w:t>
            </w:r>
            <w:r>
              <w:rPr>
                <w:rFonts w:asciiTheme="minorHAnsi" w:hAnsiTheme="minorHAnsi"/>
                <w:sz w:val="20"/>
                <w:szCs w:val="20"/>
                <w:u w:val="single"/>
              </w:rPr>
              <w:t>P</w:t>
            </w:r>
            <w:r>
              <w:rPr>
                <w:rFonts w:asciiTheme="minorHAnsi" w:hAnsiTheme="minorHAnsi"/>
                <w:sz w:val="20"/>
                <w:szCs w:val="20"/>
              </w:rPr>
              <w:t xml:space="preserve">ublic </w:t>
            </w:r>
            <w:r>
              <w:rPr>
                <w:rFonts w:asciiTheme="minorHAnsi" w:hAnsiTheme="minorHAnsi"/>
                <w:sz w:val="20"/>
                <w:szCs w:val="20"/>
                <w:u w:val="single"/>
              </w:rPr>
              <w:t>A</w:t>
            </w:r>
            <w:r>
              <w:rPr>
                <w:rFonts w:asciiTheme="minorHAnsi" w:hAnsiTheme="minorHAnsi"/>
                <w:sz w:val="20"/>
                <w:szCs w:val="20"/>
              </w:rPr>
              <w:t xml:space="preserve">ddress Service (LPA) allows for acoustically addressing areas of a </w:t>
            </w:r>
            <w:r>
              <w:rPr>
                <w:rFonts w:asciiTheme="minorHAnsi" w:hAnsiTheme="minorHAnsi"/>
                <w:sz w:val="20"/>
                <w:szCs w:val="20"/>
              </w:rPr>
              <w:lastRenderedPageBreak/>
              <w:t>waterway, for acoustic voice communications and for the dissemination of other acoustic signals to mariners. Hence, the acoustic fog signals would belong to that service.</w:t>
            </w:r>
          </w:p>
        </w:tc>
        <w:tc>
          <w:tcPr>
            <w:tcW w:w="1081" w:type="dxa"/>
            <w:tcBorders>
              <w:top w:val="nil"/>
            </w:tcBorders>
            <w:shd w:val="clear" w:color="auto" w:fill="auto"/>
            <w:tcMar>
              <w:left w:w="23" w:type="dxa"/>
            </w:tcMar>
          </w:tcPr>
          <w:p w:rsidR="006904E2" w:rsidRDefault="006904E2">
            <w:pPr>
              <w:pStyle w:val="BodyText"/>
              <w:jc w:val="left"/>
              <w:rPr>
                <w:rFonts w:asciiTheme="minorHAnsi" w:hAnsiTheme="minorHAnsi"/>
                <w:sz w:val="20"/>
                <w:szCs w:val="20"/>
              </w:rPr>
            </w:pPr>
          </w:p>
        </w:tc>
        <w:tc>
          <w:tcPr>
            <w:tcW w:w="1125" w:type="dxa"/>
            <w:tcBorders>
              <w:top w:val="nil"/>
            </w:tcBorders>
            <w:shd w:val="clear" w:color="auto" w:fill="auto"/>
            <w:tcMar>
              <w:left w:w="23" w:type="dxa"/>
            </w:tcMar>
            <w:vAlign w:val="center"/>
          </w:tcPr>
          <w:p w:rsidR="006904E2" w:rsidRDefault="006904E2">
            <w:pPr>
              <w:pStyle w:val="BodyText"/>
              <w:jc w:val="left"/>
              <w:rPr>
                <w:rFonts w:asciiTheme="minorHAnsi" w:hAnsiTheme="minorHAnsi"/>
                <w:sz w:val="20"/>
                <w:szCs w:val="20"/>
              </w:rPr>
            </w:pPr>
          </w:p>
        </w:tc>
        <w:tc>
          <w:tcPr>
            <w:tcW w:w="997" w:type="dxa"/>
            <w:tcBorders>
              <w:top w:val="nil"/>
            </w:tcBorders>
            <w:shd w:val="clear" w:color="auto" w:fill="auto"/>
            <w:tcMar>
              <w:left w:w="23" w:type="dxa"/>
            </w:tcMar>
          </w:tcPr>
          <w:p w:rsidR="006904E2" w:rsidRDefault="00010018">
            <w:pPr>
              <w:pStyle w:val="BodyText"/>
              <w:jc w:val="left"/>
              <w:rPr>
                <w:rFonts w:asciiTheme="minorHAnsi" w:hAnsiTheme="minorHAnsi"/>
                <w:sz w:val="20"/>
                <w:szCs w:val="20"/>
              </w:rPr>
            </w:pPr>
            <w:r>
              <w:rPr>
                <w:rFonts w:ascii="Calibri" w:hAnsi="Calibri"/>
                <w:sz w:val="20"/>
                <w:szCs w:val="20"/>
              </w:rPr>
              <w:t xml:space="preserve">New term </w:t>
            </w:r>
          </w:p>
        </w:tc>
        <w:tc>
          <w:tcPr>
            <w:tcW w:w="1072" w:type="dxa"/>
            <w:tcBorders>
              <w:top w:val="nil"/>
            </w:tcBorders>
            <w:shd w:val="clear" w:color="auto" w:fill="auto"/>
            <w:tcMar>
              <w:left w:w="23" w:type="dxa"/>
            </w:tcMar>
          </w:tcPr>
          <w:p w:rsidR="006904E2" w:rsidRDefault="00010018">
            <w:pPr>
              <w:pStyle w:val="BodyText"/>
              <w:jc w:val="left"/>
              <w:rPr>
                <w:rFonts w:asciiTheme="minorHAnsi" w:hAnsiTheme="minorHAnsi"/>
                <w:sz w:val="20"/>
                <w:szCs w:val="20"/>
              </w:rPr>
            </w:pPr>
            <w:r>
              <w:rPr>
                <w:rFonts w:ascii="Calibri" w:hAnsi="Calibri"/>
                <w:sz w:val="20"/>
                <w:szCs w:val="20"/>
              </w:rPr>
              <w:t>May 2015</w:t>
            </w:r>
          </w:p>
        </w:tc>
        <w:tc>
          <w:tcPr>
            <w:tcW w:w="924" w:type="dxa"/>
            <w:tcBorders>
              <w:top w:val="nil"/>
            </w:tcBorders>
            <w:shd w:val="clear" w:color="auto" w:fill="auto"/>
            <w:tcMar>
              <w:left w:w="23" w:type="dxa"/>
            </w:tcMar>
          </w:tcPr>
          <w:p w:rsidR="006904E2" w:rsidRDefault="00010018">
            <w:pPr>
              <w:pStyle w:val="BodyText"/>
              <w:rPr>
                <w:rFonts w:asciiTheme="minorHAnsi" w:hAnsiTheme="minorHAnsi"/>
                <w:sz w:val="20"/>
                <w:szCs w:val="20"/>
              </w:rPr>
            </w:pPr>
            <w:r>
              <w:rPr>
                <w:rFonts w:ascii="Calibri" w:hAnsi="Calibri"/>
                <w:sz w:val="20"/>
                <w:szCs w:val="20"/>
              </w:rPr>
              <w:t>IALA Council approved</w:t>
            </w:r>
          </w:p>
        </w:tc>
      </w:tr>
      <w:tr w:rsidR="006904E2">
        <w:tc>
          <w:tcPr>
            <w:tcW w:w="1364" w:type="dxa"/>
            <w:tcBorders>
              <w:top w:val="nil"/>
            </w:tcBorders>
            <w:shd w:val="clear" w:color="auto" w:fill="auto"/>
            <w:tcMar>
              <w:left w:w="23" w:type="dxa"/>
            </w:tcMar>
          </w:tcPr>
          <w:p w:rsidR="006904E2" w:rsidRDefault="00010018">
            <w:pPr>
              <w:pStyle w:val="BodyText"/>
              <w:spacing w:after="0"/>
              <w:rPr>
                <w:rFonts w:asciiTheme="minorHAnsi" w:hAnsiTheme="minorHAnsi"/>
                <w:sz w:val="20"/>
                <w:szCs w:val="20"/>
              </w:rPr>
            </w:pPr>
            <w:r>
              <w:rPr>
                <w:rFonts w:asciiTheme="minorHAnsi" w:hAnsiTheme="minorHAnsi"/>
                <w:sz w:val="20"/>
                <w:szCs w:val="20"/>
                <w:u w:val="single"/>
              </w:rPr>
              <w:lastRenderedPageBreak/>
              <w:t>En</w:t>
            </w:r>
            <w:r>
              <w:rPr>
                <w:rFonts w:asciiTheme="minorHAnsi" w:hAnsiTheme="minorHAnsi"/>
                <w:sz w:val="20"/>
                <w:szCs w:val="20"/>
              </w:rPr>
              <w:t xml:space="preserve">vironmental </w:t>
            </w:r>
            <w:r>
              <w:rPr>
                <w:rFonts w:asciiTheme="minorHAnsi" w:hAnsiTheme="minorHAnsi"/>
                <w:sz w:val="20"/>
                <w:szCs w:val="20"/>
                <w:u w:val="single"/>
              </w:rPr>
              <w:t>S</w:t>
            </w:r>
            <w:r>
              <w:rPr>
                <w:rFonts w:asciiTheme="minorHAnsi" w:hAnsiTheme="minorHAnsi"/>
                <w:sz w:val="20"/>
                <w:szCs w:val="20"/>
              </w:rPr>
              <w:t>ensor Service (ENS)</w:t>
            </w:r>
          </w:p>
        </w:tc>
        <w:tc>
          <w:tcPr>
            <w:tcW w:w="960" w:type="dxa"/>
            <w:tcBorders>
              <w:top w:val="nil"/>
            </w:tcBorders>
            <w:shd w:val="clear" w:color="auto" w:fill="auto"/>
            <w:tcMar>
              <w:left w:w="23" w:type="dxa"/>
            </w:tcMar>
            <w:vAlign w:val="center"/>
          </w:tcPr>
          <w:p w:rsidR="006904E2" w:rsidRDefault="006904E2">
            <w:pPr>
              <w:pStyle w:val="BodyText"/>
              <w:jc w:val="center"/>
              <w:rPr>
                <w:rFonts w:asciiTheme="minorHAnsi" w:hAnsiTheme="minorHAnsi"/>
                <w:sz w:val="20"/>
                <w:szCs w:val="20"/>
              </w:rPr>
            </w:pPr>
          </w:p>
        </w:tc>
        <w:tc>
          <w:tcPr>
            <w:tcW w:w="1921" w:type="dxa"/>
            <w:tcBorders>
              <w:top w:val="nil"/>
            </w:tcBorders>
            <w:shd w:val="clear" w:color="auto" w:fill="auto"/>
            <w:tcMar>
              <w:left w:w="23" w:type="dxa"/>
            </w:tcMar>
          </w:tcPr>
          <w:p w:rsidR="006904E2" w:rsidRDefault="00010018">
            <w:pPr>
              <w:pStyle w:val="BodyText"/>
              <w:jc w:val="center"/>
            </w:pPr>
            <w:r>
              <w:rPr>
                <w:rFonts w:asciiTheme="minorHAnsi" w:hAnsiTheme="minorHAnsi"/>
                <w:sz w:val="20"/>
                <w:szCs w:val="20"/>
              </w:rPr>
              <w:t>IALA Guideline 1114, chapter 3</w:t>
            </w:r>
          </w:p>
        </w:tc>
        <w:tc>
          <w:tcPr>
            <w:tcW w:w="975" w:type="dxa"/>
            <w:tcBorders>
              <w:top w:val="nil"/>
            </w:tcBorders>
            <w:shd w:val="clear" w:color="auto" w:fill="auto"/>
            <w:tcMar>
              <w:left w:w="23" w:type="dxa"/>
            </w:tcMar>
          </w:tcPr>
          <w:p w:rsidR="006904E2" w:rsidRDefault="006904E2">
            <w:pPr>
              <w:pStyle w:val="BodyText"/>
              <w:jc w:val="center"/>
              <w:rPr>
                <w:rFonts w:asciiTheme="minorHAnsi" w:hAnsiTheme="minorHAnsi"/>
                <w:sz w:val="20"/>
                <w:szCs w:val="20"/>
              </w:rPr>
            </w:pPr>
          </w:p>
        </w:tc>
        <w:tc>
          <w:tcPr>
            <w:tcW w:w="4365" w:type="dxa"/>
            <w:tcBorders>
              <w:top w:val="nil"/>
            </w:tcBorders>
            <w:shd w:val="clear" w:color="auto" w:fill="auto"/>
            <w:tcMar>
              <w:left w:w="23" w:type="dxa"/>
            </w:tcMar>
          </w:tcPr>
          <w:p w:rsidR="006904E2" w:rsidRDefault="00010018">
            <w:pPr>
              <w:pStyle w:val="BodyText"/>
              <w:spacing w:after="0"/>
            </w:pPr>
            <w:r>
              <w:rPr>
                <w:rFonts w:asciiTheme="minorHAnsi" w:hAnsiTheme="minorHAnsi"/>
                <w:sz w:val="20"/>
                <w:szCs w:val="20"/>
              </w:rPr>
              <w:t xml:space="preserve">In the context of the Common Shore-based System Architecture (CSSA), the </w:t>
            </w:r>
            <w:r>
              <w:rPr>
                <w:rFonts w:asciiTheme="minorHAnsi" w:hAnsiTheme="minorHAnsi"/>
                <w:sz w:val="20"/>
                <w:szCs w:val="20"/>
                <w:u w:val="single"/>
              </w:rPr>
              <w:t>En</w:t>
            </w:r>
            <w:r>
              <w:rPr>
                <w:rFonts w:asciiTheme="minorHAnsi" w:hAnsiTheme="minorHAnsi"/>
                <w:sz w:val="20"/>
                <w:szCs w:val="20"/>
              </w:rPr>
              <w:t xml:space="preserve">vironmental </w:t>
            </w:r>
            <w:r>
              <w:rPr>
                <w:rFonts w:asciiTheme="minorHAnsi" w:hAnsiTheme="minorHAnsi"/>
                <w:sz w:val="20"/>
                <w:szCs w:val="20"/>
                <w:u w:val="single"/>
              </w:rPr>
              <w:t>S</w:t>
            </w:r>
            <w:r>
              <w:rPr>
                <w:rFonts w:asciiTheme="minorHAnsi" w:hAnsiTheme="minorHAnsi"/>
                <w:sz w:val="20"/>
                <w:szCs w:val="20"/>
              </w:rPr>
              <w:t xml:space="preserve">ensor Service (ENS) provides the Common Shore-based System (CSS) with measurements of relevant parameters of the maritime environment. Such </w:t>
            </w:r>
            <w:proofErr w:type="gramStart"/>
            <w:r>
              <w:rPr>
                <w:rFonts w:asciiTheme="minorHAnsi" w:hAnsiTheme="minorHAnsi"/>
                <w:sz w:val="20"/>
                <w:szCs w:val="20"/>
              </w:rPr>
              <w:t>relevant  sensor</w:t>
            </w:r>
            <w:proofErr w:type="gramEnd"/>
            <w:r>
              <w:rPr>
                <w:rFonts w:asciiTheme="minorHAnsi" w:hAnsiTheme="minorHAnsi"/>
                <w:sz w:val="20"/>
                <w:szCs w:val="20"/>
              </w:rPr>
              <w:t xml:space="preserve">  data  could  be  hydrological,  meteorological  or  of  other physical nature.</w:t>
            </w:r>
          </w:p>
        </w:tc>
        <w:tc>
          <w:tcPr>
            <w:tcW w:w="1081" w:type="dxa"/>
            <w:tcBorders>
              <w:top w:val="nil"/>
            </w:tcBorders>
            <w:shd w:val="clear" w:color="auto" w:fill="auto"/>
            <w:tcMar>
              <w:left w:w="23" w:type="dxa"/>
            </w:tcMar>
          </w:tcPr>
          <w:p w:rsidR="006904E2" w:rsidRDefault="006904E2">
            <w:pPr>
              <w:pStyle w:val="BodyText"/>
              <w:jc w:val="left"/>
              <w:rPr>
                <w:rFonts w:asciiTheme="minorHAnsi" w:hAnsiTheme="minorHAnsi"/>
                <w:sz w:val="20"/>
                <w:szCs w:val="20"/>
              </w:rPr>
            </w:pPr>
          </w:p>
        </w:tc>
        <w:tc>
          <w:tcPr>
            <w:tcW w:w="1125" w:type="dxa"/>
            <w:tcBorders>
              <w:top w:val="nil"/>
            </w:tcBorders>
            <w:shd w:val="clear" w:color="auto" w:fill="auto"/>
            <w:tcMar>
              <w:left w:w="23" w:type="dxa"/>
            </w:tcMar>
            <w:vAlign w:val="center"/>
          </w:tcPr>
          <w:p w:rsidR="006904E2" w:rsidRDefault="006904E2">
            <w:pPr>
              <w:pStyle w:val="BodyText"/>
              <w:jc w:val="left"/>
              <w:rPr>
                <w:rFonts w:asciiTheme="minorHAnsi" w:hAnsiTheme="minorHAnsi"/>
                <w:sz w:val="20"/>
                <w:szCs w:val="20"/>
              </w:rPr>
            </w:pPr>
          </w:p>
        </w:tc>
        <w:tc>
          <w:tcPr>
            <w:tcW w:w="997" w:type="dxa"/>
            <w:tcBorders>
              <w:top w:val="nil"/>
            </w:tcBorders>
            <w:shd w:val="clear" w:color="auto" w:fill="auto"/>
            <w:tcMar>
              <w:left w:w="23" w:type="dxa"/>
            </w:tcMar>
          </w:tcPr>
          <w:p w:rsidR="006904E2" w:rsidRDefault="00010018">
            <w:pPr>
              <w:pStyle w:val="BodyText"/>
              <w:jc w:val="left"/>
              <w:rPr>
                <w:rFonts w:asciiTheme="minorHAnsi" w:hAnsiTheme="minorHAnsi"/>
                <w:sz w:val="20"/>
                <w:szCs w:val="20"/>
              </w:rPr>
            </w:pPr>
            <w:r>
              <w:rPr>
                <w:rFonts w:ascii="Calibri" w:hAnsi="Calibri"/>
                <w:sz w:val="20"/>
                <w:szCs w:val="20"/>
              </w:rPr>
              <w:t xml:space="preserve">New term </w:t>
            </w:r>
          </w:p>
        </w:tc>
        <w:tc>
          <w:tcPr>
            <w:tcW w:w="1072" w:type="dxa"/>
            <w:tcBorders>
              <w:top w:val="nil"/>
            </w:tcBorders>
            <w:shd w:val="clear" w:color="auto" w:fill="auto"/>
            <w:tcMar>
              <w:left w:w="23" w:type="dxa"/>
            </w:tcMar>
          </w:tcPr>
          <w:p w:rsidR="006904E2" w:rsidRDefault="00010018">
            <w:pPr>
              <w:pStyle w:val="BodyText"/>
              <w:jc w:val="left"/>
              <w:rPr>
                <w:rFonts w:asciiTheme="minorHAnsi" w:hAnsiTheme="minorHAnsi"/>
                <w:sz w:val="20"/>
                <w:szCs w:val="20"/>
              </w:rPr>
            </w:pPr>
            <w:r>
              <w:rPr>
                <w:rFonts w:ascii="Calibri" w:hAnsi="Calibri"/>
                <w:sz w:val="20"/>
                <w:szCs w:val="20"/>
              </w:rPr>
              <w:t>May 2015</w:t>
            </w:r>
          </w:p>
        </w:tc>
        <w:tc>
          <w:tcPr>
            <w:tcW w:w="924" w:type="dxa"/>
            <w:tcBorders>
              <w:top w:val="nil"/>
            </w:tcBorders>
            <w:shd w:val="clear" w:color="auto" w:fill="auto"/>
            <w:tcMar>
              <w:left w:w="23" w:type="dxa"/>
            </w:tcMar>
          </w:tcPr>
          <w:p w:rsidR="006904E2" w:rsidRDefault="00010018">
            <w:pPr>
              <w:pStyle w:val="BodyText"/>
              <w:rPr>
                <w:rFonts w:asciiTheme="minorHAnsi" w:hAnsiTheme="minorHAnsi"/>
                <w:sz w:val="20"/>
                <w:szCs w:val="20"/>
              </w:rPr>
            </w:pPr>
            <w:r>
              <w:rPr>
                <w:rFonts w:ascii="Calibri" w:hAnsi="Calibri"/>
                <w:sz w:val="20"/>
                <w:szCs w:val="20"/>
              </w:rPr>
              <w:t>IALA Council approved</w:t>
            </w:r>
          </w:p>
        </w:tc>
      </w:tr>
      <w:tr w:rsidR="006904E2">
        <w:tc>
          <w:tcPr>
            <w:tcW w:w="1364" w:type="dxa"/>
            <w:tcBorders>
              <w:top w:val="nil"/>
            </w:tcBorders>
            <w:shd w:val="clear" w:color="auto" w:fill="auto"/>
            <w:tcMar>
              <w:left w:w="23" w:type="dxa"/>
            </w:tcMar>
          </w:tcPr>
          <w:p w:rsidR="006904E2" w:rsidRDefault="00010018">
            <w:pPr>
              <w:pStyle w:val="BodyText"/>
              <w:spacing w:after="0"/>
              <w:rPr>
                <w:rFonts w:asciiTheme="minorHAnsi" w:hAnsiTheme="minorHAnsi"/>
                <w:sz w:val="20"/>
                <w:szCs w:val="20"/>
              </w:rPr>
            </w:pPr>
            <w:r>
              <w:rPr>
                <w:rFonts w:asciiTheme="minorHAnsi" w:hAnsiTheme="minorHAnsi"/>
                <w:sz w:val="20"/>
                <w:szCs w:val="20"/>
                <w:u w:val="single"/>
              </w:rPr>
              <w:t>Pos</w:t>
            </w:r>
            <w:r>
              <w:rPr>
                <w:rFonts w:asciiTheme="minorHAnsi" w:hAnsiTheme="minorHAnsi"/>
                <w:sz w:val="20"/>
                <w:szCs w:val="20"/>
              </w:rPr>
              <w:t>ition Determination Service (POS)</w:t>
            </w:r>
          </w:p>
        </w:tc>
        <w:tc>
          <w:tcPr>
            <w:tcW w:w="960" w:type="dxa"/>
            <w:tcBorders>
              <w:top w:val="nil"/>
            </w:tcBorders>
            <w:shd w:val="clear" w:color="auto" w:fill="auto"/>
            <w:tcMar>
              <w:left w:w="23" w:type="dxa"/>
            </w:tcMar>
            <w:vAlign w:val="center"/>
          </w:tcPr>
          <w:p w:rsidR="006904E2" w:rsidRDefault="006904E2">
            <w:pPr>
              <w:pStyle w:val="BodyText"/>
              <w:jc w:val="center"/>
              <w:rPr>
                <w:rFonts w:asciiTheme="minorHAnsi" w:hAnsiTheme="minorHAnsi"/>
                <w:sz w:val="20"/>
                <w:szCs w:val="20"/>
              </w:rPr>
            </w:pPr>
          </w:p>
        </w:tc>
        <w:tc>
          <w:tcPr>
            <w:tcW w:w="1921" w:type="dxa"/>
            <w:tcBorders>
              <w:top w:val="nil"/>
            </w:tcBorders>
            <w:shd w:val="clear" w:color="auto" w:fill="auto"/>
            <w:tcMar>
              <w:left w:w="23" w:type="dxa"/>
            </w:tcMar>
          </w:tcPr>
          <w:p w:rsidR="006904E2" w:rsidRDefault="00010018">
            <w:pPr>
              <w:pStyle w:val="BodyText"/>
              <w:jc w:val="center"/>
            </w:pPr>
            <w:r>
              <w:rPr>
                <w:rFonts w:asciiTheme="minorHAnsi" w:hAnsiTheme="minorHAnsi"/>
                <w:sz w:val="20"/>
                <w:szCs w:val="20"/>
              </w:rPr>
              <w:t>IALA Guideline 1114, chapter 3</w:t>
            </w:r>
          </w:p>
        </w:tc>
        <w:tc>
          <w:tcPr>
            <w:tcW w:w="975" w:type="dxa"/>
            <w:tcBorders>
              <w:top w:val="nil"/>
            </w:tcBorders>
            <w:shd w:val="clear" w:color="auto" w:fill="auto"/>
            <w:tcMar>
              <w:left w:w="23" w:type="dxa"/>
            </w:tcMar>
          </w:tcPr>
          <w:p w:rsidR="006904E2" w:rsidRDefault="006904E2">
            <w:pPr>
              <w:pStyle w:val="BodyText"/>
              <w:jc w:val="center"/>
              <w:rPr>
                <w:rFonts w:asciiTheme="minorHAnsi" w:hAnsiTheme="minorHAnsi"/>
                <w:sz w:val="20"/>
                <w:szCs w:val="20"/>
              </w:rPr>
            </w:pPr>
          </w:p>
        </w:tc>
        <w:tc>
          <w:tcPr>
            <w:tcW w:w="4365" w:type="dxa"/>
            <w:tcBorders>
              <w:top w:val="nil"/>
            </w:tcBorders>
            <w:shd w:val="clear" w:color="auto" w:fill="auto"/>
            <w:tcMar>
              <w:left w:w="23" w:type="dxa"/>
            </w:tcMar>
          </w:tcPr>
          <w:p w:rsidR="006904E2" w:rsidRDefault="00010018">
            <w:pPr>
              <w:pStyle w:val="BodyText"/>
              <w:spacing w:after="0"/>
            </w:pPr>
            <w:r>
              <w:rPr>
                <w:rFonts w:asciiTheme="minorHAnsi" w:hAnsiTheme="minorHAnsi"/>
                <w:sz w:val="20"/>
                <w:szCs w:val="20"/>
              </w:rPr>
              <w:t xml:space="preserve">In the context of the Common Shore-based System Architecture (CSSA), the </w:t>
            </w:r>
            <w:r>
              <w:rPr>
                <w:rFonts w:asciiTheme="minorHAnsi" w:hAnsiTheme="minorHAnsi"/>
                <w:sz w:val="20"/>
                <w:szCs w:val="20"/>
                <w:u w:val="single"/>
              </w:rPr>
              <w:t>Pos</w:t>
            </w:r>
            <w:r>
              <w:rPr>
                <w:rFonts w:asciiTheme="minorHAnsi" w:hAnsiTheme="minorHAnsi"/>
                <w:sz w:val="20"/>
                <w:szCs w:val="20"/>
              </w:rPr>
              <w:t xml:space="preserve">ition Determination Service (POS) </w:t>
            </w:r>
            <w:proofErr w:type="gramStart"/>
            <w:r>
              <w:rPr>
                <w:rFonts w:asciiTheme="minorHAnsi" w:hAnsiTheme="minorHAnsi"/>
                <w:sz w:val="20"/>
                <w:szCs w:val="20"/>
              </w:rPr>
              <w:t>processes  all</w:t>
            </w:r>
            <w:proofErr w:type="gramEnd"/>
            <w:r>
              <w:rPr>
                <w:rFonts w:asciiTheme="minorHAnsi" w:hAnsiTheme="minorHAnsi"/>
                <w:sz w:val="20"/>
                <w:szCs w:val="20"/>
              </w:rPr>
              <w:t xml:space="preserve">  real-time  data regarding traffic objects (vessels, aircraft, floating objects etc.) from all available  relevant  sensory  sources  (e.g.  AIS</w:t>
            </w:r>
            <w:proofErr w:type="gramStart"/>
            <w:r>
              <w:rPr>
                <w:rFonts w:asciiTheme="minorHAnsi" w:hAnsiTheme="minorHAnsi"/>
                <w:sz w:val="20"/>
                <w:szCs w:val="20"/>
              </w:rPr>
              <w:t>,  radar</w:t>
            </w:r>
            <w:proofErr w:type="gramEnd"/>
            <w:r>
              <w:rPr>
                <w:rFonts w:asciiTheme="minorHAnsi" w:hAnsiTheme="minorHAnsi"/>
                <w:sz w:val="20"/>
                <w:szCs w:val="20"/>
              </w:rPr>
              <w:t xml:space="preserve">,  direction finding). Also,  fusion  algorithms  dealing  with  the  different  sensory  information may  be  processed  here,  thus  providing  the  Common Shore-based System (CSS)  with  a  multi-sensor validated track of every traffic object under surveillance by the CSS, together  with  relevant  quality  parameters  such  as  accuracy  estimations, tracking status and reliability etc. </w:t>
            </w:r>
          </w:p>
        </w:tc>
        <w:tc>
          <w:tcPr>
            <w:tcW w:w="1081" w:type="dxa"/>
            <w:tcBorders>
              <w:top w:val="nil"/>
            </w:tcBorders>
            <w:shd w:val="clear" w:color="auto" w:fill="auto"/>
            <w:tcMar>
              <w:left w:w="23" w:type="dxa"/>
            </w:tcMar>
          </w:tcPr>
          <w:p w:rsidR="006904E2" w:rsidRDefault="006904E2">
            <w:pPr>
              <w:pStyle w:val="BodyText"/>
              <w:jc w:val="left"/>
              <w:rPr>
                <w:rFonts w:asciiTheme="minorHAnsi" w:hAnsiTheme="minorHAnsi"/>
                <w:sz w:val="20"/>
                <w:szCs w:val="20"/>
              </w:rPr>
            </w:pPr>
          </w:p>
        </w:tc>
        <w:tc>
          <w:tcPr>
            <w:tcW w:w="1125" w:type="dxa"/>
            <w:tcBorders>
              <w:top w:val="nil"/>
            </w:tcBorders>
            <w:shd w:val="clear" w:color="auto" w:fill="auto"/>
            <w:tcMar>
              <w:left w:w="23" w:type="dxa"/>
            </w:tcMar>
            <w:vAlign w:val="center"/>
          </w:tcPr>
          <w:p w:rsidR="006904E2" w:rsidRDefault="006904E2">
            <w:pPr>
              <w:pStyle w:val="BodyText"/>
              <w:jc w:val="left"/>
              <w:rPr>
                <w:rFonts w:asciiTheme="minorHAnsi" w:hAnsiTheme="minorHAnsi"/>
                <w:sz w:val="20"/>
                <w:szCs w:val="20"/>
              </w:rPr>
            </w:pPr>
          </w:p>
        </w:tc>
        <w:tc>
          <w:tcPr>
            <w:tcW w:w="997" w:type="dxa"/>
            <w:tcBorders>
              <w:top w:val="nil"/>
            </w:tcBorders>
            <w:shd w:val="clear" w:color="auto" w:fill="auto"/>
            <w:tcMar>
              <w:left w:w="23" w:type="dxa"/>
            </w:tcMar>
          </w:tcPr>
          <w:p w:rsidR="006904E2" w:rsidRDefault="00010018">
            <w:pPr>
              <w:pStyle w:val="BodyText"/>
              <w:jc w:val="left"/>
              <w:rPr>
                <w:rFonts w:asciiTheme="minorHAnsi" w:hAnsiTheme="minorHAnsi"/>
                <w:sz w:val="20"/>
                <w:szCs w:val="20"/>
              </w:rPr>
            </w:pPr>
            <w:r>
              <w:rPr>
                <w:rFonts w:ascii="Calibri" w:hAnsi="Calibri"/>
                <w:sz w:val="20"/>
                <w:szCs w:val="20"/>
              </w:rPr>
              <w:t xml:space="preserve">New term </w:t>
            </w:r>
          </w:p>
        </w:tc>
        <w:tc>
          <w:tcPr>
            <w:tcW w:w="1072" w:type="dxa"/>
            <w:tcBorders>
              <w:top w:val="nil"/>
            </w:tcBorders>
            <w:shd w:val="clear" w:color="auto" w:fill="auto"/>
            <w:tcMar>
              <w:left w:w="23" w:type="dxa"/>
            </w:tcMar>
          </w:tcPr>
          <w:p w:rsidR="006904E2" w:rsidRDefault="00010018">
            <w:pPr>
              <w:pStyle w:val="BodyText"/>
              <w:jc w:val="left"/>
              <w:rPr>
                <w:rFonts w:asciiTheme="minorHAnsi" w:hAnsiTheme="minorHAnsi"/>
                <w:sz w:val="20"/>
                <w:szCs w:val="20"/>
              </w:rPr>
            </w:pPr>
            <w:r>
              <w:rPr>
                <w:rFonts w:ascii="Calibri" w:hAnsi="Calibri"/>
                <w:sz w:val="20"/>
                <w:szCs w:val="20"/>
              </w:rPr>
              <w:t>May 2015</w:t>
            </w:r>
          </w:p>
        </w:tc>
        <w:tc>
          <w:tcPr>
            <w:tcW w:w="924" w:type="dxa"/>
            <w:tcBorders>
              <w:top w:val="nil"/>
            </w:tcBorders>
            <w:shd w:val="clear" w:color="auto" w:fill="auto"/>
            <w:tcMar>
              <w:left w:w="23" w:type="dxa"/>
            </w:tcMar>
          </w:tcPr>
          <w:p w:rsidR="006904E2" w:rsidRDefault="00010018">
            <w:pPr>
              <w:pStyle w:val="BodyText"/>
              <w:rPr>
                <w:rFonts w:asciiTheme="minorHAnsi" w:hAnsiTheme="minorHAnsi"/>
                <w:sz w:val="20"/>
                <w:szCs w:val="20"/>
              </w:rPr>
            </w:pPr>
            <w:r>
              <w:rPr>
                <w:rFonts w:ascii="Calibri" w:hAnsi="Calibri"/>
                <w:sz w:val="20"/>
                <w:szCs w:val="20"/>
              </w:rPr>
              <w:t>IALA Council approved</w:t>
            </w:r>
          </w:p>
        </w:tc>
      </w:tr>
      <w:tr w:rsidR="006904E2">
        <w:tc>
          <w:tcPr>
            <w:tcW w:w="1364" w:type="dxa"/>
            <w:tcBorders>
              <w:top w:val="nil"/>
            </w:tcBorders>
            <w:shd w:val="clear" w:color="auto" w:fill="auto"/>
            <w:tcMar>
              <w:left w:w="23" w:type="dxa"/>
            </w:tcMar>
          </w:tcPr>
          <w:p w:rsidR="006904E2" w:rsidRDefault="00010018">
            <w:pPr>
              <w:pStyle w:val="BodyText"/>
              <w:spacing w:after="0"/>
              <w:rPr>
                <w:rFonts w:asciiTheme="minorHAnsi" w:hAnsiTheme="minorHAnsi"/>
                <w:sz w:val="20"/>
                <w:szCs w:val="20"/>
              </w:rPr>
            </w:pPr>
            <w:r>
              <w:rPr>
                <w:rFonts w:asciiTheme="minorHAnsi" w:hAnsiTheme="minorHAnsi"/>
                <w:sz w:val="20"/>
                <w:szCs w:val="20"/>
                <w:u w:val="single"/>
              </w:rPr>
              <w:t>S</w:t>
            </w:r>
            <w:r>
              <w:rPr>
                <w:rFonts w:asciiTheme="minorHAnsi" w:hAnsiTheme="minorHAnsi"/>
                <w:sz w:val="20"/>
                <w:szCs w:val="20"/>
              </w:rPr>
              <w:t xml:space="preserve">hip </w:t>
            </w:r>
            <w:r>
              <w:rPr>
                <w:rFonts w:asciiTheme="minorHAnsi" w:hAnsiTheme="minorHAnsi"/>
                <w:sz w:val="20"/>
                <w:szCs w:val="20"/>
                <w:u w:val="single"/>
              </w:rPr>
              <w:t>D</w:t>
            </w:r>
            <w:r>
              <w:rPr>
                <w:rFonts w:asciiTheme="minorHAnsi" w:hAnsiTheme="minorHAnsi"/>
                <w:sz w:val="20"/>
                <w:szCs w:val="20"/>
              </w:rPr>
              <w:t xml:space="preserve">ata Consistency </w:t>
            </w:r>
            <w:r>
              <w:rPr>
                <w:rFonts w:asciiTheme="minorHAnsi" w:hAnsiTheme="minorHAnsi"/>
                <w:sz w:val="20"/>
                <w:szCs w:val="20"/>
                <w:u w:val="single"/>
              </w:rPr>
              <w:t>A</w:t>
            </w:r>
            <w:r>
              <w:rPr>
                <w:rFonts w:asciiTheme="minorHAnsi" w:hAnsiTheme="minorHAnsi"/>
                <w:sz w:val="20"/>
                <w:szCs w:val="20"/>
              </w:rPr>
              <w:t>nalysis Service (SDA)</w:t>
            </w:r>
          </w:p>
        </w:tc>
        <w:tc>
          <w:tcPr>
            <w:tcW w:w="960" w:type="dxa"/>
            <w:tcBorders>
              <w:top w:val="nil"/>
            </w:tcBorders>
            <w:shd w:val="clear" w:color="auto" w:fill="auto"/>
            <w:tcMar>
              <w:left w:w="23" w:type="dxa"/>
            </w:tcMar>
            <w:vAlign w:val="center"/>
          </w:tcPr>
          <w:p w:rsidR="006904E2" w:rsidRDefault="006904E2">
            <w:pPr>
              <w:pStyle w:val="BodyText"/>
              <w:jc w:val="center"/>
              <w:rPr>
                <w:rFonts w:asciiTheme="minorHAnsi" w:hAnsiTheme="minorHAnsi"/>
                <w:sz w:val="20"/>
                <w:szCs w:val="20"/>
              </w:rPr>
            </w:pPr>
          </w:p>
        </w:tc>
        <w:tc>
          <w:tcPr>
            <w:tcW w:w="1921" w:type="dxa"/>
            <w:tcBorders>
              <w:top w:val="nil"/>
            </w:tcBorders>
            <w:shd w:val="clear" w:color="auto" w:fill="auto"/>
            <w:tcMar>
              <w:left w:w="23" w:type="dxa"/>
            </w:tcMar>
          </w:tcPr>
          <w:p w:rsidR="006904E2" w:rsidRDefault="00010018">
            <w:pPr>
              <w:pStyle w:val="BodyText"/>
              <w:jc w:val="center"/>
            </w:pPr>
            <w:r>
              <w:rPr>
                <w:rFonts w:asciiTheme="minorHAnsi" w:hAnsiTheme="minorHAnsi"/>
                <w:sz w:val="20"/>
                <w:szCs w:val="20"/>
              </w:rPr>
              <w:t>IALA Guideline 1114, chapter 3</w:t>
            </w:r>
          </w:p>
        </w:tc>
        <w:tc>
          <w:tcPr>
            <w:tcW w:w="975" w:type="dxa"/>
            <w:tcBorders>
              <w:top w:val="nil"/>
            </w:tcBorders>
            <w:shd w:val="clear" w:color="auto" w:fill="auto"/>
            <w:tcMar>
              <w:left w:w="23" w:type="dxa"/>
            </w:tcMar>
          </w:tcPr>
          <w:p w:rsidR="006904E2" w:rsidRDefault="006904E2">
            <w:pPr>
              <w:pStyle w:val="BodyText"/>
              <w:jc w:val="center"/>
              <w:rPr>
                <w:rFonts w:asciiTheme="minorHAnsi" w:hAnsiTheme="minorHAnsi"/>
                <w:sz w:val="20"/>
                <w:szCs w:val="20"/>
              </w:rPr>
            </w:pPr>
          </w:p>
        </w:tc>
        <w:tc>
          <w:tcPr>
            <w:tcW w:w="4365" w:type="dxa"/>
            <w:tcBorders>
              <w:top w:val="nil"/>
            </w:tcBorders>
            <w:shd w:val="clear" w:color="auto" w:fill="auto"/>
            <w:tcMar>
              <w:left w:w="23" w:type="dxa"/>
            </w:tcMar>
          </w:tcPr>
          <w:p w:rsidR="006904E2" w:rsidRDefault="00010018">
            <w:pPr>
              <w:pStyle w:val="BodyText"/>
              <w:spacing w:after="0"/>
            </w:pPr>
            <w:r>
              <w:rPr>
                <w:rFonts w:asciiTheme="minorHAnsi" w:hAnsiTheme="minorHAnsi"/>
                <w:sz w:val="20"/>
                <w:szCs w:val="20"/>
              </w:rPr>
              <w:t xml:space="preserve">In the context of the Common Shore-based System Architecture (CSSA), the </w:t>
            </w:r>
            <w:r>
              <w:rPr>
                <w:rFonts w:asciiTheme="minorHAnsi" w:hAnsiTheme="minorHAnsi"/>
                <w:sz w:val="20"/>
                <w:szCs w:val="20"/>
                <w:u w:val="single"/>
              </w:rPr>
              <w:t>S</w:t>
            </w:r>
            <w:r>
              <w:rPr>
                <w:rFonts w:asciiTheme="minorHAnsi" w:hAnsiTheme="minorHAnsi"/>
                <w:sz w:val="20"/>
                <w:szCs w:val="20"/>
              </w:rPr>
              <w:t xml:space="preserve">hip </w:t>
            </w:r>
            <w:r>
              <w:rPr>
                <w:rFonts w:asciiTheme="minorHAnsi" w:hAnsiTheme="minorHAnsi"/>
                <w:sz w:val="20"/>
                <w:szCs w:val="20"/>
                <w:u w:val="single"/>
              </w:rPr>
              <w:t>D</w:t>
            </w:r>
            <w:r>
              <w:rPr>
                <w:rFonts w:asciiTheme="minorHAnsi" w:hAnsiTheme="minorHAnsi"/>
                <w:sz w:val="20"/>
                <w:szCs w:val="20"/>
              </w:rPr>
              <w:t xml:space="preserve">ata Consistency </w:t>
            </w:r>
            <w:r>
              <w:rPr>
                <w:rFonts w:asciiTheme="minorHAnsi" w:hAnsiTheme="minorHAnsi"/>
                <w:sz w:val="20"/>
                <w:szCs w:val="20"/>
                <w:u w:val="single"/>
              </w:rPr>
              <w:t>A</w:t>
            </w:r>
            <w:r>
              <w:rPr>
                <w:rFonts w:asciiTheme="minorHAnsi" w:hAnsiTheme="minorHAnsi"/>
                <w:sz w:val="20"/>
                <w:szCs w:val="20"/>
              </w:rPr>
              <w:t xml:space="preserve">nalysis Service (SDA) collects,  evaluates, stores and provides on demand non-real-time data regarding traffic objects, in particular their static and voyage related data. To that end this technical service draws on a variety of available sources of information for that kind of data, such as AIS reports, historical data from past voyages of the same traffic object, manually acquired data, and third party data bases.  </w:t>
            </w:r>
            <w:proofErr w:type="gramStart"/>
            <w:r>
              <w:rPr>
                <w:rFonts w:asciiTheme="minorHAnsi" w:hAnsiTheme="minorHAnsi"/>
                <w:sz w:val="20"/>
                <w:szCs w:val="20"/>
              </w:rPr>
              <w:t>This  service</w:t>
            </w:r>
            <w:proofErr w:type="gramEnd"/>
            <w:r>
              <w:rPr>
                <w:rFonts w:asciiTheme="minorHAnsi" w:hAnsiTheme="minorHAnsi"/>
                <w:sz w:val="20"/>
                <w:szCs w:val="20"/>
              </w:rPr>
              <w:t xml:space="preserve">  also  provides  pseudo  tracking  identifiers  for  the Position Determination Service (POS), for correlation of real-time tracking data with </w:t>
            </w:r>
            <w:r>
              <w:rPr>
                <w:rFonts w:asciiTheme="minorHAnsi" w:hAnsiTheme="minorHAnsi"/>
                <w:sz w:val="20"/>
                <w:szCs w:val="20"/>
              </w:rPr>
              <w:lastRenderedPageBreak/>
              <w:t xml:space="preserve">static and voyage related data of the same traffic objects. Amongst other things, this service may handle data as defined by IMO FAL (Convention). </w:t>
            </w:r>
          </w:p>
        </w:tc>
        <w:tc>
          <w:tcPr>
            <w:tcW w:w="1081" w:type="dxa"/>
            <w:tcBorders>
              <w:top w:val="nil"/>
            </w:tcBorders>
            <w:shd w:val="clear" w:color="auto" w:fill="auto"/>
            <w:tcMar>
              <w:left w:w="23" w:type="dxa"/>
            </w:tcMar>
          </w:tcPr>
          <w:p w:rsidR="006904E2" w:rsidRDefault="006904E2">
            <w:pPr>
              <w:pStyle w:val="BodyText"/>
              <w:jc w:val="left"/>
              <w:rPr>
                <w:rFonts w:asciiTheme="minorHAnsi" w:hAnsiTheme="minorHAnsi"/>
                <w:sz w:val="20"/>
                <w:szCs w:val="20"/>
              </w:rPr>
            </w:pPr>
          </w:p>
        </w:tc>
        <w:tc>
          <w:tcPr>
            <w:tcW w:w="1125" w:type="dxa"/>
            <w:tcBorders>
              <w:top w:val="nil"/>
            </w:tcBorders>
            <w:shd w:val="clear" w:color="auto" w:fill="auto"/>
            <w:tcMar>
              <w:left w:w="23" w:type="dxa"/>
            </w:tcMar>
            <w:vAlign w:val="center"/>
          </w:tcPr>
          <w:p w:rsidR="006904E2" w:rsidRDefault="006904E2">
            <w:pPr>
              <w:pStyle w:val="BodyText"/>
              <w:jc w:val="left"/>
              <w:rPr>
                <w:rFonts w:asciiTheme="minorHAnsi" w:hAnsiTheme="minorHAnsi"/>
                <w:sz w:val="20"/>
                <w:szCs w:val="20"/>
              </w:rPr>
            </w:pPr>
          </w:p>
        </w:tc>
        <w:tc>
          <w:tcPr>
            <w:tcW w:w="997" w:type="dxa"/>
            <w:tcBorders>
              <w:top w:val="nil"/>
            </w:tcBorders>
            <w:shd w:val="clear" w:color="auto" w:fill="auto"/>
            <w:tcMar>
              <w:left w:w="23" w:type="dxa"/>
            </w:tcMar>
          </w:tcPr>
          <w:p w:rsidR="006904E2" w:rsidRDefault="00010018">
            <w:pPr>
              <w:pStyle w:val="BodyText"/>
              <w:jc w:val="left"/>
              <w:rPr>
                <w:rFonts w:asciiTheme="minorHAnsi" w:hAnsiTheme="minorHAnsi"/>
                <w:sz w:val="20"/>
                <w:szCs w:val="20"/>
              </w:rPr>
            </w:pPr>
            <w:r>
              <w:rPr>
                <w:rFonts w:ascii="Calibri" w:hAnsi="Calibri"/>
                <w:sz w:val="20"/>
                <w:szCs w:val="20"/>
              </w:rPr>
              <w:t xml:space="preserve">New term </w:t>
            </w:r>
          </w:p>
        </w:tc>
        <w:tc>
          <w:tcPr>
            <w:tcW w:w="1072" w:type="dxa"/>
            <w:tcBorders>
              <w:top w:val="nil"/>
            </w:tcBorders>
            <w:shd w:val="clear" w:color="auto" w:fill="auto"/>
            <w:tcMar>
              <w:left w:w="23" w:type="dxa"/>
            </w:tcMar>
          </w:tcPr>
          <w:p w:rsidR="006904E2" w:rsidRDefault="00010018">
            <w:pPr>
              <w:pStyle w:val="BodyText"/>
              <w:jc w:val="left"/>
              <w:rPr>
                <w:rFonts w:asciiTheme="minorHAnsi" w:hAnsiTheme="minorHAnsi"/>
                <w:sz w:val="20"/>
                <w:szCs w:val="20"/>
              </w:rPr>
            </w:pPr>
            <w:r>
              <w:rPr>
                <w:rFonts w:ascii="Calibri" w:hAnsi="Calibri"/>
                <w:sz w:val="20"/>
                <w:szCs w:val="20"/>
              </w:rPr>
              <w:t>May 2015</w:t>
            </w:r>
          </w:p>
        </w:tc>
        <w:tc>
          <w:tcPr>
            <w:tcW w:w="924" w:type="dxa"/>
            <w:tcBorders>
              <w:top w:val="nil"/>
            </w:tcBorders>
            <w:shd w:val="clear" w:color="auto" w:fill="auto"/>
            <w:tcMar>
              <w:left w:w="23" w:type="dxa"/>
            </w:tcMar>
          </w:tcPr>
          <w:p w:rsidR="006904E2" w:rsidRDefault="00010018">
            <w:pPr>
              <w:pStyle w:val="BodyText"/>
              <w:rPr>
                <w:rFonts w:asciiTheme="minorHAnsi" w:hAnsiTheme="minorHAnsi"/>
                <w:sz w:val="20"/>
                <w:szCs w:val="20"/>
              </w:rPr>
            </w:pPr>
            <w:r>
              <w:rPr>
                <w:rFonts w:ascii="Calibri" w:hAnsi="Calibri"/>
                <w:sz w:val="20"/>
                <w:szCs w:val="20"/>
              </w:rPr>
              <w:t>IALA Council approved</w:t>
            </w:r>
          </w:p>
        </w:tc>
      </w:tr>
      <w:tr w:rsidR="006904E2">
        <w:tc>
          <w:tcPr>
            <w:tcW w:w="1364" w:type="dxa"/>
            <w:tcBorders>
              <w:top w:val="nil"/>
            </w:tcBorders>
            <w:shd w:val="clear" w:color="auto" w:fill="auto"/>
            <w:tcMar>
              <w:left w:w="23" w:type="dxa"/>
            </w:tcMar>
          </w:tcPr>
          <w:p w:rsidR="006904E2" w:rsidRDefault="00010018">
            <w:pPr>
              <w:pStyle w:val="BodyText"/>
              <w:spacing w:after="0"/>
              <w:rPr>
                <w:rFonts w:asciiTheme="minorHAnsi" w:hAnsiTheme="minorHAnsi"/>
                <w:sz w:val="20"/>
                <w:szCs w:val="20"/>
              </w:rPr>
            </w:pPr>
            <w:r>
              <w:rPr>
                <w:rFonts w:asciiTheme="minorHAnsi" w:hAnsiTheme="minorHAnsi"/>
                <w:sz w:val="20"/>
                <w:szCs w:val="20"/>
                <w:u w:val="single"/>
              </w:rPr>
              <w:lastRenderedPageBreak/>
              <w:t>En</w:t>
            </w:r>
            <w:r>
              <w:rPr>
                <w:rFonts w:asciiTheme="minorHAnsi" w:hAnsiTheme="minorHAnsi"/>
                <w:sz w:val="20"/>
                <w:szCs w:val="20"/>
              </w:rPr>
              <w:t xml:space="preserve">vironmental Data </w:t>
            </w:r>
            <w:r>
              <w:rPr>
                <w:rFonts w:asciiTheme="minorHAnsi" w:hAnsiTheme="minorHAnsi"/>
                <w:sz w:val="20"/>
                <w:szCs w:val="20"/>
                <w:u w:val="single"/>
              </w:rPr>
              <w:t>E</w:t>
            </w:r>
            <w:r>
              <w:rPr>
                <w:rFonts w:asciiTheme="minorHAnsi" w:hAnsiTheme="minorHAnsi"/>
                <w:sz w:val="20"/>
                <w:szCs w:val="20"/>
              </w:rPr>
              <w:t>valuation Service (ENE)</w:t>
            </w:r>
          </w:p>
        </w:tc>
        <w:tc>
          <w:tcPr>
            <w:tcW w:w="960" w:type="dxa"/>
            <w:tcBorders>
              <w:top w:val="nil"/>
            </w:tcBorders>
            <w:shd w:val="clear" w:color="auto" w:fill="auto"/>
            <w:tcMar>
              <w:left w:w="23" w:type="dxa"/>
            </w:tcMar>
            <w:vAlign w:val="center"/>
          </w:tcPr>
          <w:p w:rsidR="006904E2" w:rsidRDefault="006904E2">
            <w:pPr>
              <w:pStyle w:val="BodyText"/>
              <w:jc w:val="center"/>
              <w:rPr>
                <w:rFonts w:asciiTheme="minorHAnsi" w:hAnsiTheme="minorHAnsi"/>
                <w:sz w:val="20"/>
                <w:szCs w:val="20"/>
              </w:rPr>
            </w:pPr>
          </w:p>
        </w:tc>
        <w:tc>
          <w:tcPr>
            <w:tcW w:w="1921" w:type="dxa"/>
            <w:tcBorders>
              <w:top w:val="nil"/>
            </w:tcBorders>
            <w:shd w:val="clear" w:color="auto" w:fill="auto"/>
            <w:tcMar>
              <w:left w:w="23" w:type="dxa"/>
            </w:tcMar>
          </w:tcPr>
          <w:p w:rsidR="006904E2" w:rsidRDefault="00010018">
            <w:pPr>
              <w:pStyle w:val="BodyText"/>
              <w:jc w:val="center"/>
            </w:pPr>
            <w:r>
              <w:rPr>
                <w:rFonts w:asciiTheme="minorHAnsi" w:hAnsiTheme="minorHAnsi"/>
                <w:sz w:val="20"/>
                <w:szCs w:val="20"/>
              </w:rPr>
              <w:t>IALA Guideline 1114, chapter 3</w:t>
            </w:r>
          </w:p>
        </w:tc>
        <w:tc>
          <w:tcPr>
            <w:tcW w:w="975" w:type="dxa"/>
            <w:tcBorders>
              <w:top w:val="nil"/>
            </w:tcBorders>
            <w:shd w:val="clear" w:color="auto" w:fill="auto"/>
            <w:tcMar>
              <w:left w:w="23" w:type="dxa"/>
            </w:tcMar>
          </w:tcPr>
          <w:p w:rsidR="006904E2" w:rsidRDefault="006904E2">
            <w:pPr>
              <w:pStyle w:val="BodyText"/>
              <w:jc w:val="center"/>
              <w:rPr>
                <w:rFonts w:asciiTheme="minorHAnsi" w:hAnsiTheme="minorHAnsi"/>
                <w:sz w:val="20"/>
                <w:szCs w:val="20"/>
              </w:rPr>
            </w:pPr>
          </w:p>
        </w:tc>
        <w:tc>
          <w:tcPr>
            <w:tcW w:w="4365" w:type="dxa"/>
            <w:tcBorders>
              <w:top w:val="nil"/>
            </w:tcBorders>
            <w:shd w:val="clear" w:color="auto" w:fill="auto"/>
            <w:tcMar>
              <w:left w:w="23" w:type="dxa"/>
            </w:tcMar>
          </w:tcPr>
          <w:p w:rsidR="006904E2" w:rsidRDefault="00010018">
            <w:pPr>
              <w:pStyle w:val="BodyText"/>
              <w:spacing w:after="0"/>
            </w:pPr>
            <w:r>
              <w:rPr>
                <w:rFonts w:asciiTheme="minorHAnsi" w:hAnsiTheme="minorHAnsi"/>
                <w:sz w:val="20"/>
                <w:szCs w:val="20"/>
              </w:rPr>
              <w:t xml:space="preserve">In the context of the Common Shore-based System Architecture (CSSA), the </w:t>
            </w:r>
            <w:r>
              <w:rPr>
                <w:rFonts w:asciiTheme="minorHAnsi" w:hAnsiTheme="minorHAnsi"/>
                <w:sz w:val="20"/>
                <w:szCs w:val="20"/>
                <w:u w:val="single"/>
              </w:rPr>
              <w:t>En</w:t>
            </w:r>
            <w:r>
              <w:rPr>
                <w:rFonts w:asciiTheme="minorHAnsi" w:hAnsiTheme="minorHAnsi"/>
                <w:sz w:val="20"/>
                <w:szCs w:val="20"/>
              </w:rPr>
              <w:t xml:space="preserve">vironmental Data </w:t>
            </w:r>
            <w:r>
              <w:rPr>
                <w:rFonts w:asciiTheme="minorHAnsi" w:hAnsiTheme="minorHAnsi"/>
                <w:sz w:val="20"/>
                <w:szCs w:val="20"/>
                <w:u w:val="single"/>
              </w:rPr>
              <w:t>E</w:t>
            </w:r>
            <w:r>
              <w:rPr>
                <w:rFonts w:asciiTheme="minorHAnsi" w:hAnsiTheme="minorHAnsi"/>
                <w:sz w:val="20"/>
                <w:szCs w:val="20"/>
              </w:rPr>
              <w:t xml:space="preserve">valuation Service (ENE) collects,  evaluates, stores and provides on demand all data of the physical environment of the  waterways  relevant  to  safety  and  efficiency  of  shipping  and to the protection of the environment. The Environmental Data Evaluation </w:t>
            </w:r>
          </w:p>
          <w:p w:rsidR="006904E2" w:rsidRDefault="00010018">
            <w:pPr>
              <w:pStyle w:val="BodyText"/>
              <w:spacing w:after="0"/>
            </w:pPr>
            <w:r>
              <w:rPr>
                <w:rFonts w:asciiTheme="minorHAnsi" w:hAnsiTheme="minorHAnsi"/>
                <w:sz w:val="20"/>
                <w:szCs w:val="20"/>
              </w:rPr>
              <w:t xml:space="preserve">Service </w:t>
            </w:r>
            <w:proofErr w:type="gramStart"/>
            <w:r>
              <w:rPr>
                <w:rFonts w:asciiTheme="minorHAnsi" w:hAnsiTheme="minorHAnsi"/>
                <w:sz w:val="20"/>
                <w:szCs w:val="20"/>
              </w:rPr>
              <w:t>also  creates</w:t>
            </w:r>
            <w:proofErr w:type="gramEnd"/>
            <w:r>
              <w:rPr>
                <w:rFonts w:asciiTheme="minorHAnsi" w:hAnsiTheme="minorHAnsi"/>
                <w:sz w:val="20"/>
                <w:szCs w:val="20"/>
              </w:rPr>
              <w:t xml:space="preserve">  added-value  information  on  the  physical  environment by evaluating the available raw data from the various sources by appropriate  algorithms.  </w:t>
            </w:r>
            <w:proofErr w:type="gramStart"/>
            <w:r>
              <w:rPr>
                <w:rFonts w:asciiTheme="minorHAnsi" w:hAnsiTheme="minorHAnsi"/>
                <w:sz w:val="20"/>
                <w:szCs w:val="20"/>
              </w:rPr>
              <w:t>For  instance</w:t>
            </w:r>
            <w:proofErr w:type="gramEnd"/>
            <w:r>
              <w:rPr>
                <w:rFonts w:asciiTheme="minorHAnsi" w:hAnsiTheme="minorHAnsi"/>
                <w:sz w:val="20"/>
                <w:szCs w:val="20"/>
              </w:rPr>
              <w:t>,  tidal  windows  and  under-keel clearances (UKC) may be calculated here.</w:t>
            </w:r>
          </w:p>
        </w:tc>
        <w:tc>
          <w:tcPr>
            <w:tcW w:w="1081" w:type="dxa"/>
            <w:tcBorders>
              <w:top w:val="nil"/>
            </w:tcBorders>
            <w:shd w:val="clear" w:color="auto" w:fill="auto"/>
            <w:tcMar>
              <w:left w:w="23" w:type="dxa"/>
            </w:tcMar>
          </w:tcPr>
          <w:p w:rsidR="006904E2" w:rsidRDefault="006904E2">
            <w:pPr>
              <w:pStyle w:val="BodyText"/>
              <w:jc w:val="left"/>
              <w:rPr>
                <w:rFonts w:asciiTheme="minorHAnsi" w:hAnsiTheme="minorHAnsi"/>
                <w:sz w:val="20"/>
                <w:szCs w:val="20"/>
              </w:rPr>
            </w:pPr>
          </w:p>
        </w:tc>
        <w:tc>
          <w:tcPr>
            <w:tcW w:w="1125" w:type="dxa"/>
            <w:tcBorders>
              <w:top w:val="nil"/>
            </w:tcBorders>
            <w:shd w:val="clear" w:color="auto" w:fill="auto"/>
            <w:tcMar>
              <w:left w:w="23" w:type="dxa"/>
            </w:tcMar>
            <w:vAlign w:val="center"/>
          </w:tcPr>
          <w:p w:rsidR="006904E2" w:rsidRDefault="006904E2">
            <w:pPr>
              <w:pStyle w:val="BodyText"/>
              <w:jc w:val="left"/>
              <w:rPr>
                <w:rFonts w:asciiTheme="minorHAnsi" w:hAnsiTheme="minorHAnsi"/>
                <w:sz w:val="20"/>
                <w:szCs w:val="20"/>
              </w:rPr>
            </w:pPr>
          </w:p>
        </w:tc>
        <w:tc>
          <w:tcPr>
            <w:tcW w:w="997" w:type="dxa"/>
            <w:tcBorders>
              <w:top w:val="nil"/>
            </w:tcBorders>
            <w:shd w:val="clear" w:color="auto" w:fill="auto"/>
            <w:tcMar>
              <w:left w:w="23" w:type="dxa"/>
            </w:tcMar>
          </w:tcPr>
          <w:p w:rsidR="006904E2" w:rsidRDefault="00010018">
            <w:pPr>
              <w:pStyle w:val="BodyText"/>
              <w:jc w:val="left"/>
              <w:rPr>
                <w:rFonts w:asciiTheme="minorHAnsi" w:hAnsiTheme="minorHAnsi"/>
                <w:sz w:val="20"/>
                <w:szCs w:val="20"/>
              </w:rPr>
            </w:pPr>
            <w:r>
              <w:rPr>
                <w:rFonts w:ascii="Calibri" w:hAnsi="Calibri"/>
                <w:sz w:val="20"/>
                <w:szCs w:val="20"/>
              </w:rPr>
              <w:t xml:space="preserve">New term </w:t>
            </w:r>
          </w:p>
        </w:tc>
        <w:tc>
          <w:tcPr>
            <w:tcW w:w="1072" w:type="dxa"/>
            <w:tcBorders>
              <w:top w:val="nil"/>
            </w:tcBorders>
            <w:shd w:val="clear" w:color="auto" w:fill="auto"/>
            <w:tcMar>
              <w:left w:w="23" w:type="dxa"/>
            </w:tcMar>
          </w:tcPr>
          <w:p w:rsidR="006904E2" w:rsidRDefault="00010018">
            <w:pPr>
              <w:pStyle w:val="BodyText"/>
              <w:jc w:val="left"/>
              <w:rPr>
                <w:rFonts w:asciiTheme="minorHAnsi" w:hAnsiTheme="minorHAnsi"/>
                <w:sz w:val="20"/>
                <w:szCs w:val="20"/>
              </w:rPr>
            </w:pPr>
            <w:r>
              <w:rPr>
                <w:rFonts w:ascii="Calibri" w:hAnsi="Calibri"/>
                <w:sz w:val="20"/>
                <w:szCs w:val="20"/>
              </w:rPr>
              <w:t>May 2015</w:t>
            </w:r>
          </w:p>
        </w:tc>
        <w:tc>
          <w:tcPr>
            <w:tcW w:w="924" w:type="dxa"/>
            <w:tcBorders>
              <w:top w:val="nil"/>
            </w:tcBorders>
            <w:shd w:val="clear" w:color="auto" w:fill="auto"/>
            <w:tcMar>
              <w:left w:w="23" w:type="dxa"/>
            </w:tcMar>
          </w:tcPr>
          <w:p w:rsidR="006904E2" w:rsidRDefault="00010018">
            <w:pPr>
              <w:pStyle w:val="BodyText"/>
              <w:rPr>
                <w:rFonts w:asciiTheme="minorHAnsi" w:hAnsiTheme="minorHAnsi"/>
                <w:sz w:val="20"/>
                <w:szCs w:val="20"/>
              </w:rPr>
            </w:pPr>
            <w:r>
              <w:rPr>
                <w:rFonts w:ascii="Calibri" w:hAnsi="Calibri"/>
                <w:sz w:val="20"/>
                <w:szCs w:val="20"/>
              </w:rPr>
              <w:t>IALA Council approved</w:t>
            </w:r>
          </w:p>
        </w:tc>
      </w:tr>
      <w:tr w:rsidR="006904E2">
        <w:tc>
          <w:tcPr>
            <w:tcW w:w="1364" w:type="dxa"/>
            <w:tcBorders>
              <w:top w:val="nil"/>
            </w:tcBorders>
            <w:shd w:val="clear" w:color="auto" w:fill="auto"/>
            <w:tcMar>
              <w:left w:w="23" w:type="dxa"/>
            </w:tcMar>
          </w:tcPr>
          <w:p w:rsidR="006904E2" w:rsidRDefault="00010018">
            <w:pPr>
              <w:pStyle w:val="BodyText"/>
              <w:spacing w:after="0"/>
              <w:rPr>
                <w:rFonts w:asciiTheme="minorHAnsi" w:hAnsiTheme="minorHAnsi"/>
                <w:sz w:val="20"/>
                <w:szCs w:val="20"/>
              </w:rPr>
            </w:pPr>
            <w:r>
              <w:rPr>
                <w:rFonts w:asciiTheme="minorHAnsi" w:hAnsiTheme="minorHAnsi"/>
                <w:sz w:val="20"/>
                <w:szCs w:val="20"/>
                <w:u w:val="single"/>
              </w:rPr>
              <w:t>Vec</w:t>
            </w:r>
            <w:r>
              <w:rPr>
                <w:rFonts w:asciiTheme="minorHAnsi" w:hAnsiTheme="minorHAnsi"/>
                <w:sz w:val="20"/>
                <w:szCs w:val="20"/>
              </w:rPr>
              <w:t>tor Chart Service (VEC)</w:t>
            </w:r>
          </w:p>
        </w:tc>
        <w:tc>
          <w:tcPr>
            <w:tcW w:w="960" w:type="dxa"/>
            <w:tcBorders>
              <w:top w:val="nil"/>
            </w:tcBorders>
            <w:shd w:val="clear" w:color="auto" w:fill="auto"/>
            <w:tcMar>
              <w:left w:w="23" w:type="dxa"/>
            </w:tcMar>
            <w:vAlign w:val="center"/>
          </w:tcPr>
          <w:p w:rsidR="006904E2" w:rsidRDefault="006904E2">
            <w:pPr>
              <w:pStyle w:val="BodyText"/>
              <w:jc w:val="center"/>
              <w:rPr>
                <w:rFonts w:asciiTheme="minorHAnsi" w:hAnsiTheme="minorHAnsi"/>
                <w:sz w:val="20"/>
                <w:szCs w:val="20"/>
              </w:rPr>
            </w:pPr>
          </w:p>
        </w:tc>
        <w:tc>
          <w:tcPr>
            <w:tcW w:w="1921" w:type="dxa"/>
            <w:tcBorders>
              <w:top w:val="nil"/>
            </w:tcBorders>
            <w:shd w:val="clear" w:color="auto" w:fill="auto"/>
            <w:tcMar>
              <w:left w:w="23" w:type="dxa"/>
            </w:tcMar>
          </w:tcPr>
          <w:p w:rsidR="006904E2" w:rsidRDefault="00010018">
            <w:pPr>
              <w:pStyle w:val="BodyText"/>
              <w:jc w:val="center"/>
            </w:pPr>
            <w:r>
              <w:rPr>
                <w:rFonts w:asciiTheme="minorHAnsi" w:hAnsiTheme="minorHAnsi"/>
                <w:sz w:val="20"/>
                <w:szCs w:val="20"/>
              </w:rPr>
              <w:t>IALA Guideline 1114, chapter 3</w:t>
            </w:r>
          </w:p>
        </w:tc>
        <w:tc>
          <w:tcPr>
            <w:tcW w:w="975" w:type="dxa"/>
            <w:tcBorders>
              <w:top w:val="nil"/>
            </w:tcBorders>
            <w:shd w:val="clear" w:color="auto" w:fill="auto"/>
            <w:tcMar>
              <w:left w:w="23" w:type="dxa"/>
            </w:tcMar>
          </w:tcPr>
          <w:p w:rsidR="006904E2" w:rsidRDefault="006904E2">
            <w:pPr>
              <w:pStyle w:val="BodyText"/>
              <w:jc w:val="center"/>
              <w:rPr>
                <w:rFonts w:asciiTheme="minorHAnsi" w:hAnsiTheme="minorHAnsi"/>
                <w:sz w:val="20"/>
                <w:szCs w:val="20"/>
              </w:rPr>
            </w:pPr>
          </w:p>
        </w:tc>
        <w:tc>
          <w:tcPr>
            <w:tcW w:w="4365" w:type="dxa"/>
            <w:tcBorders>
              <w:top w:val="nil"/>
            </w:tcBorders>
            <w:shd w:val="clear" w:color="auto" w:fill="auto"/>
            <w:tcMar>
              <w:left w:w="23" w:type="dxa"/>
            </w:tcMar>
          </w:tcPr>
          <w:p w:rsidR="006904E2" w:rsidRDefault="00010018">
            <w:pPr>
              <w:pStyle w:val="BodyText"/>
              <w:spacing w:after="0"/>
            </w:pPr>
            <w:r>
              <w:rPr>
                <w:rFonts w:asciiTheme="minorHAnsi" w:hAnsiTheme="minorHAnsi"/>
                <w:sz w:val="20"/>
                <w:szCs w:val="20"/>
              </w:rPr>
              <w:t xml:space="preserve">In the context of the Common Shore-based System Architecture (CSSA), the </w:t>
            </w:r>
            <w:r>
              <w:rPr>
                <w:rFonts w:asciiTheme="minorHAnsi" w:hAnsiTheme="minorHAnsi"/>
                <w:sz w:val="20"/>
                <w:szCs w:val="20"/>
                <w:u w:val="single"/>
              </w:rPr>
              <w:t>Vec</w:t>
            </w:r>
            <w:r>
              <w:rPr>
                <w:rFonts w:asciiTheme="minorHAnsi" w:hAnsiTheme="minorHAnsi"/>
                <w:sz w:val="20"/>
                <w:szCs w:val="20"/>
              </w:rPr>
              <w:t xml:space="preserve">tor Chart Service (VEC) collects, stores, and provides on demand all data pertaining to </w:t>
            </w:r>
            <w:proofErr w:type="spellStart"/>
            <w:r>
              <w:rPr>
                <w:rFonts w:asciiTheme="minorHAnsi" w:hAnsiTheme="minorHAnsi"/>
                <w:sz w:val="20"/>
                <w:szCs w:val="20"/>
              </w:rPr>
              <w:t>vectorized</w:t>
            </w:r>
            <w:proofErr w:type="spellEnd"/>
            <w:r>
              <w:rPr>
                <w:rFonts w:asciiTheme="minorHAnsi" w:hAnsiTheme="minorHAnsi"/>
                <w:sz w:val="20"/>
                <w:szCs w:val="20"/>
              </w:rPr>
              <w:t xml:space="preserve"> ENCs, both drawing on official sources for ENCs but also drawing on the system’s own sources, i.e. on manual input. The Vector Chart Service maintains the ENCs from external sources as they are, but provides overlay </w:t>
            </w:r>
            <w:proofErr w:type="gramStart"/>
            <w:r>
              <w:rPr>
                <w:rFonts w:asciiTheme="minorHAnsi" w:hAnsiTheme="minorHAnsi"/>
                <w:sz w:val="20"/>
                <w:szCs w:val="20"/>
              </w:rPr>
              <w:t>layers  which</w:t>
            </w:r>
            <w:proofErr w:type="gramEnd"/>
            <w:r>
              <w:rPr>
                <w:rFonts w:asciiTheme="minorHAnsi" w:hAnsiTheme="minorHAnsi"/>
                <w:sz w:val="20"/>
                <w:szCs w:val="20"/>
              </w:rPr>
              <w:t xml:space="preserve">  contain  the  additional  information from  the  system’s  own sources, such as coverage areas of operational and technical services or route topology modelling data.</w:t>
            </w:r>
          </w:p>
        </w:tc>
        <w:tc>
          <w:tcPr>
            <w:tcW w:w="1081" w:type="dxa"/>
            <w:tcBorders>
              <w:top w:val="nil"/>
            </w:tcBorders>
            <w:shd w:val="clear" w:color="auto" w:fill="auto"/>
            <w:tcMar>
              <w:left w:w="23" w:type="dxa"/>
            </w:tcMar>
          </w:tcPr>
          <w:p w:rsidR="006904E2" w:rsidRDefault="006904E2">
            <w:pPr>
              <w:pStyle w:val="BodyText"/>
              <w:jc w:val="left"/>
              <w:rPr>
                <w:rFonts w:asciiTheme="minorHAnsi" w:hAnsiTheme="minorHAnsi"/>
                <w:sz w:val="20"/>
                <w:szCs w:val="20"/>
              </w:rPr>
            </w:pPr>
          </w:p>
        </w:tc>
        <w:tc>
          <w:tcPr>
            <w:tcW w:w="1125" w:type="dxa"/>
            <w:tcBorders>
              <w:top w:val="nil"/>
            </w:tcBorders>
            <w:shd w:val="clear" w:color="auto" w:fill="auto"/>
            <w:tcMar>
              <w:left w:w="23" w:type="dxa"/>
            </w:tcMar>
            <w:vAlign w:val="center"/>
          </w:tcPr>
          <w:p w:rsidR="006904E2" w:rsidRDefault="006904E2">
            <w:pPr>
              <w:pStyle w:val="BodyText"/>
              <w:jc w:val="left"/>
              <w:rPr>
                <w:rFonts w:asciiTheme="minorHAnsi" w:hAnsiTheme="minorHAnsi"/>
                <w:sz w:val="20"/>
                <w:szCs w:val="20"/>
              </w:rPr>
            </w:pPr>
          </w:p>
        </w:tc>
        <w:tc>
          <w:tcPr>
            <w:tcW w:w="997" w:type="dxa"/>
            <w:tcBorders>
              <w:top w:val="nil"/>
            </w:tcBorders>
            <w:shd w:val="clear" w:color="auto" w:fill="auto"/>
            <w:tcMar>
              <w:left w:w="23" w:type="dxa"/>
            </w:tcMar>
          </w:tcPr>
          <w:p w:rsidR="006904E2" w:rsidRDefault="00010018">
            <w:pPr>
              <w:pStyle w:val="BodyText"/>
              <w:jc w:val="left"/>
              <w:rPr>
                <w:rFonts w:asciiTheme="minorHAnsi" w:hAnsiTheme="minorHAnsi"/>
                <w:sz w:val="20"/>
                <w:szCs w:val="20"/>
              </w:rPr>
            </w:pPr>
            <w:r>
              <w:rPr>
                <w:rFonts w:ascii="Calibri" w:hAnsi="Calibri"/>
                <w:sz w:val="20"/>
                <w:szCs w:val="20"/>
              </w:rPr>
              <w:t xml:space="preserve">New term </w:t>
            </w:r>
          </w:p>
        </w:tc>
        <w:tc>
          <w:tcPr>
            <w:tcW w:w="1072" w:type="dxa"/>
            <w:tcBorders>
              <w:top w:val="nil"/>
            </w:tcBorders>
            <w:shd w:val="clear" w:color="auto" w:fill="auto"/>
            <w:tcMar>
              <w:left w:w="23" w:type="dxa"/>
            </w:tcMar>
          </w:tcPr>
          <w:p w:rsidR="006904E2" w:rsidRDefault="00010018">
            <w:pPr>
              <w:pStyle w:val="BodyText"/>
              <w:jc w:val="left"/>
              <w:rPr>
                <w:rFonts w:asciiTheme="minorHAnsi" w:hAnsiTheme="minorHAnsi"/>
                <w:sz w:val="20"/>
                <w:szCs w:val="20"/>
              </w:rPr>
            </w:pPr>
            <w:r>
              <w:rPr>
                <w:rFonts w:ascii="Calibri" w:hAnsi="Calibri"/>
                <w:sz w:val="20"/>
                <w:szCs w:val="20"/>
              </w:rPr>
              <w:t>May 2015</w:t>
            </w:r>
          </w:p>
        </w:tc>
        <w:tc>
          <w:tcPr>
            <w:tcW w:w="924" w:type="dxa"/>
            <w:tcBorders>
              <w:top w:val="nil"/>
            </w:tcBorders>
            <w:shd w:val="clear" w:color="auto" w:fill="auto"/>
            <w:tcMar>
              <w:left w:w="23" w:type="dxa"/>
            </w:tcMar>
          </w:tcPr>
          <w:p w:rsidR="006904E2" w:rsidRDefault="00010018">
            <w:pPr>
              <w:pStyle w:val="BodyText"/>
              <w:rPr>
                <w:rFonts w:asciiTheme="minorHAnsi" w:hAnsiTheme="minorHAnsi"/>
                <w:sz w:val="20"/>
                <w:szCs w:val="20"/>
              </w:rPr>
            </w:pPr>
            <w:r>
              <w:rPr>
                <w:rFonts w:ascii="Calibri" w:hAnsi="Calibri"/>
                <w:sz w:val="20"/>
                <w:szCs w:val="20"/>
              </w:rPr>
              <w:t>IALA Council approved</w:t>
            </w:r>
          </w:p>
        </w:tc>
      </w:tr>
      <w:tr w:rsidR="006904E2">
        <w:tc>
          <w:tcPr>
            <w:tcW w:w="1364" w:type="dxa"/>
            <w:tcBorders>
              <w:top w:val="nil"/>
            </w:tcBorders>
            <w:shd w:val="clear" w:color="auto" w:fill="auto"/>
            <w:tcMar>
              <w:left w:w="23" w:type="dxa"/>
            </w:tcMar>
          </w:tcPr>
          <w:p w:rsidR="006904E2" w:rsidRDefault="00010018">
            <w:pPr>
              <w:pStyle w:val="BodyText"/>
              <w:spacing w:after="0"/>
              <w:rPr>
                <w:rFonts w:asciiTheme="minorHAnsi" w:hAnsiTheme="minorHAnsi"/>
                <w:sz w:val="20"/>
                <w:szCs w:val="20"/>
              </w:rPr>
            </w:pPr>
            <w:r>
              <w:rPr>
                <w:rFonts w:asciiTheme="minorHAnsi" w:hAnsiTheme="minorHAnsi"/>
                <w:sz w:val="20"/>
                <w:szCs w:val="20"/>
                <w:u w:val="single"/>
              </w:rPr>
              <w:t>S</w:t>
            </w:r>
            <w:r>
              <w:rPr>
                <w:rFonts w:asciiTheme="minorHAnsi" w:hAnsiTheme="minorHAnsi"/>
                <w:sz w:val="20"/>
                <w:szCs w:val="20"/>
              </w:rPr>
              <w:t xml:space="preserve">hipping </w:t>
            </w:r>
            <w:r>
              <w:rPr>
                <w:rFonts w:asciiTheme="minorHAnsi" w:hAnsiTheme="minorHAnsi"/>
                <w:sz w:val="20"/>
                <w:szCs w:val="20"/>
                <w:u w:val="single"/>
              </w:rPr>
              <w:t>I</w:t>
            </w:r>
            <w:r>
              <w:rPr>
                <w:rFonts w:asciiTheme="minorHAnsi" w:hAnsiTheme="minorHAnsi"/>
                <w:sz w:val="20"/>
                <w:szCs w:val="20"/>
              </w:rPr>
              <w:t xml:space="preserve">ndustry </w:t>
            </w:r>
            <w:r>
              <w:rPr>
                <w:rFonts w:asciiTheme="minorHAnsi" w:hAnsiTheme="minorHAnsi"/>
                <w:sz w:val="20"/>
                <w:szCs w:val="20"/>
                <w:u w:val="single"/>
              </w:rPr>
              <w:t>D</w:t>
            </w:r>
            <w:r>
              <w:rPr>
                <w:rFonts w:asciiTheme="minorHAnsi" w:hAnsiTheme="minorHAnsi"/>
                <w:sz w:val="20"/>
                <w:szCs w:val="20"/>
              </w:rPr>
              <w:t>atabase Service (SID)</w:t>
            </w:r>
          </w:p>
        </w:tc>
        <w:tc>
          <w:tcPr>
            <w:tcW w:w="960" w:type="dxa"/>
            <w:tcBorders>
              <w:top w:val="nil"/>
            </w:tcBorders>
            <w:shd w:val="clear" w:color="auto" w:fill="auto"/>
            <w:tcMar>
              <w:left w:w="23" w:type="dxa"/>
            </w:tcMar>
            <w:vAlign w:val="center"/>
          </w:tcPr>
          <w:p w:rsidR="006904E2" w:rsidRDefault="006904E2">
            <w:pPr>
              <w:pStyle w:val="BodyText"/>
              <w:jc w:val="center"/>
              <w:rPr>
                <w:rFonts w:asciiTheme="minorHAnsi" w:hAnsiTheme="minorHAnsi"/>
                <w:sz w:val="20"/>
                <w:szCs w:val="20"/>
              </w:rPr>
            </w:pPr>
          </w:p>
        </w:tc>
        <w:tc>
          <w:tcPr>
            <w:tcW w:w="1921" w:type="dxa"/>
            <w:tcBorders>
              <w:top w:val="nil"/>
            </w:tcBorders>
            <w:shd w:val="clear" w:color="auto" w:fill="auto"/>
            <w:tcMar>
              <w:left w:w="23" w:type="dxa"/>
            </w:tcMar>
          </w:tcPr>
          <w:p w:rsidR="006904E2" w:rsidRDefault="00010018">
            <w:pPr>
              <w:pStyle w:val="BodyText"/>
              <w:jc w:val="center"/>
            </w:pPr>
            <w:r>
              <w:rPr>
                <w:rFonts w:asciiTheme="minorHAnsi" w:hAnsiTheme="minorHAnsi"/>
                <w:sz w:val="20"/>
                <w:szCs w:val="20"/>
              </w:rPr>
              <w:t>IALA Guideline 1114, chapter 3</w:t>
            </w:r>
          </w:p>
        </w:tc>
        <w:tc>
          <w:tcPr>
            <w:tcW w:w="975" w:type="dxa"/>
            <w:tcBorders>
              <w:top w:val="nil"/>
            </w:tcBorders>
            <w:shd w:val="clear" w:color="auto" w:fill="auto"/>
            <w:tcMar>
              <w:left w:w="23" w:type="dxa"/>
            </w:tcMar>
          </w:tcPr>
          <w:p w:rsidR="006904E2" w:rsidRDefault="006904E2">
            <w:pPr>
              <w:pStyle w:val="BodyText"/>
              <w:jc w:val="center"/>
              <w:rPr>
                <w:rFonts w:asciiTheme="minorHAnsi" w:hAnsiTheme="minorHAnsi"/>
                <w:sz w:val="20"/>
                <w:szCs w:val="20"/>
              </w:rPr>
            </w:pPr>
          </w:p>
        </w:tc>
        <w:tc>
          <w:tcPr>
            <w:tcW w:w="4365" w:type="dxa"/>
            <w:tcBorders>
              <w:top w:val="nil"/>
            </w:tcBorders>
            <w:shd w:val="clear" w:color="auto" w:fill="auto"/>
            <w:tcMar>
              <w:left w:w="23" w:type="dxa"/>
            </w:tcMar>
          </w:tcPr>
          <w:p w:rsidR="006904E2" w:rsidRDefault="00010018">
            <w:pPr>
              <w:pStyle w:val="BodyText"/>
              <w:spacing w:after="0"/>
            </w:pPr>
            <w:r>
              <w:rPr>
                <w:rFonts w:asciiTheme="minorHAnsi" w:hAnsiTheme="minorHAnsi"/>
                <w:sz w:val="20"/>
                <w:szCs w:val="20"/>
              </w:rPr>
              <w:t xml:space="preserve">In the context of the Common Shore-based System Architecture (CSSA), the </w:t>
            </w:r>
            <w:r>
              <w:rPr>
                <w:rFonts w:asciiTheme="minorHAnsi" w:hAnsiTheme="minorHAnsi"/>
                <w:sz w:val="20"/>
                <w:szCs w:val="20"/>
                <w:u w:val="single"/>
              </w:rPr>
              <w:t>S</w:t>
            </w:r>
            <w:r>
              <w:rPr>
                <w:rFonts w:asciiTheme="minorHAnsi" w:hAnsiTheme="minorHAnsi"/>
                <w:sz w:val="20"/>
                <w:szCs w:val="20"/>
              </w:rPr>
              <w:t xml:space="preserve">hipping </w:t>
            </w:r>
            <w:r>
              <w:rPr>
                <w:rFonts w:asciiTheme="minorHAnsi" w:hAnsiTheme="minorHAnsi"/>
                <w:sz w:val="20"/>
                <w:szCs w:val="20"/>
                <w:u w:val="single"/>
              </w:rPr>
              <w:t>I</w:t>
            </w:r>
            <w:r>
              <w:rPr>
                <w:rFonts w:asciiTheme="minorHAnsi" w:hAnsiTheme="minorHAnsi"/>
                <w:sz w:val="20"/>
                <w:szCs w:val="20"/>
              </w:rPr>
              <w:t xml:space="preserve">ndustry </w:t>
            </w:r>
            <w:r>
              <w:rPr>
                <w:rFonts w:asciiTheme="minorHAnsi" w:hAnsiTheme="minorHAnsi"/>
                <w:sz w:val="20"/>
                <w:szCs w:val="20"/>
                <w:u w:val="single"/>
              </w:rPr>
              <w:t>D</w:t>
            </w:r>
            <w:r>
              <w:rPr>
                <w:rFonts w:asciiTheme="minorHAnsi" w:hAnsiTheme="minorHAnsi"/>
                <w:sz w:val="20"/>
                <w:szCs w:val="20"/>
              </w:rPr>
              <w:t xml:space="preserve">atabase Service (SID) collects, stores, and provides  on  demand  all  data  pertaining  to  the  shipping  industry,  i.e.  </w:t>
            </w:r>
            <w:proofErr w:type="gramStart"/>
            <w:r>
              <w:rPr>
                <w:rFonts w:asciiTheme="minorHAnsi" w:hAnsiTheme="minorHAnsi"/>
                <w:sz w:val="20"/>
                <w:szCs w:val="20"/>
              </w:rPr>
              <w:t>data</w:t>
            </w:r>
            <w:proofErr w:type="gramEnd"/>
            <w:r>
              <w:rPr>
                <w:rFonts w:asciiTheme="minorHAnsi" w:hAnsiTheme="minorHAnsi"/>
                <w:sz w:val="20"/>
                <w:szCs w:val="20"/>
              </w:rPr>
              <w:t xml:space="preserve"> provided by or learned about relevant stakeholders.</w:t>
            </w:r>
          </w:p>
        </w:tc>
        <w:tc>
          <w:tcPr>
            <w:tcW w:w="1081" w:type="dxa"/>
            <w:tcBorders>
              <w:top w:val="nil"/>
            </w:tcBorders>
            <w:shd w:val="clear" w:color="auto" w:fill="auto"/>
            <w:tcMar>
              <w:left w:w="23" w:type="dxa"/>
            </w:tcMar>
          </w:tcPr>
          <w:p w:rsidR="006904E2" w:rsidRDefault="006904E2">
            <w:pPr>
              <w:pStyle w:val="BodyText"/>
              <w:jc w:val="left"/>
              <w:rPr>
                <w:rFonts w:asciiTheme="minorHAnsi" w:hAnsiTheme="minorHAnsi"/>
                <w:sz w:val="20"/>
                <w:szCs w:val="20"/>
              </w:rPr>
            </w:pPr>
          </w:p>
        </w:tc>
        <w:tc>
          <w:tcPr>
            <w:tcW w:w="1125" w:type="dxa"/>
            <w:tcBorders>
              <w:top w:val="nil"/>
            </w:tcBorders>
            <w:shd w:val="clear" w:color="auto" w:fill="auto"/>
            <w:tcMar>
              <w:left w:w="23" w:type="dxa"/>
            </w:tcMar>
            <w:vAlign w:val="center"/>
          </w:tcPr>
          <w:p w:rsidR="006904E2" w:rsidRDefault="006904E2">
            <w:pPr>
              <w:pStyle w:val="BodyText"/>
              <w:jc w:val="left"/>
              <w:rPr>
                <w:rFonts w:asciiTheme="minorHAnsi" w:hAnsiTheme="minorHAnsi"/>
                <w:sz w:val="20"/>
                <w:szCs w:val="20"/>
              </w:rPr>
            </w:pPr>
          </w:p>
        </w:tc>
        <w:tc>
          <w:tcPr>
            <w:tcW w:w="997" w:type="dxa"/>
            <w:tcBorders>
              <w:top w:val="nil"/>
            </w:tcBorders>
            <w:shd w:val="clear" w:color="auto" w:fill="auto"/>
            <w:tcMar>
              <w:left w:w="23" w:type="dxa"/>
            </w:tcMar>
          </w:tcPr>
          <w:p w:rsidR="006904E2" w:rsidRDefault="00010018">
            <w:pPr>
              <w:pStyle w:val="BodyText"/>
              <w:jc w:val="left"/>
              <w:rPr>
                <w:rFonts w:asciiTheme="minorHAnsi" w:hAnsiTheme="minorHAnsi"/>
                <w:sz w:val="20"/>
                <w:szCs w:val="20"/>
              </w:rPr>
            </w:pPr>
            <w:r>
              <w:rPr>
                <w:rFonts w:ascii="Calibri" w:hAnsi="Calibri"/>
                <w:sz w:val="20"/>
                <w:szCs w:val="20"/>
              </w:rPr>
              <w:t xml:space="preserve">New term </w:t>
            </w:r>
          </w:p>
        </w:tc>
        <w:tc>
          <w:tcPr>
            <w:tcW w:w="1072" w:type="dxa"/>
            <w:tcBorders>
              <w:top w:val="nil"/>
            </w:tcBorders>
            <w:shd w:val="clear" w:color="auto" w:fill="auto"/>
            <w:tcMar>
              <w:left w:w="23" w:type="dxa"/>
            </w:tcMar>
          </w:tcPr>
          <w:p w:rsidR="006904E2" w:rsidRDefault="00010018">
            <w:pPr>
              <w:pStyle w:val="BodyText"/>
              <w:jc w:val="left"/>
              <w:rPr>
                <w:rFonts w:asciiTheme="minorHAnsi" w:hAnsiTheme="minorHAnsi"/>
                <w:sz w:val="20"/>
                <w:szCs w:val="20"/>
              </w:rPr>
            </w:pPr>
            <w:r>
              <w:rPr>
                <w:rFonts w:ascii="Calibri" w:hAnsi="Calibri"/>
                <w:sz w:val="20"/>
                <w:szCs w:val="20"/>
              </w:rPr>
              <w:t>May 2015</w:t>
            </w:r>
          </w:p>
        </w:tc>
        <w:tc>
          <w:tcPr>
            <w:tcW w:w="924" w:type="dxa"/>
            <w:tcBorders>
              <w:top w:val="nil"/>
            </w:tcBorders>
            <w:shd w:val="clear" w:color="auto" w:fill="auto"/>
            <w:tcMar>
              <w:left w:w="23" w:type="dxa"/>
            </w:tcMar>
          </w:tcPr>
          <w:p w:rsidR="006904E2" w:rsidRDefault="00010018">
            <w:pPr>
              <w:pStyle w:val="BodyText"/>
              <w:rPr>
                <w:rFonts w:asciiTheme="minorHAnsi" w:hAnsiTheme="minorHAnsi"/>
                <w:sz w:val="20"/>
                <w:szCs w:val="20"/>
              </w:rPr>
            </w:pPr>
            <w:r>
              <w:rPr>
                <w:rFonts w:ascii="Calibri" w:hAnsi="Calibri"/>
                <w:sz w:val="20"/>
                <w:szCs w:val="20"/>
              </w:rPr>
              <w:t>IALA Council approved</w:t>
            </w:r>
          </w:p>
        </w:tc>
      </w:tr>
      <w:tr w:rsidR="006904E2">
        <w:tc>
          <w:tcPr>
            <w:tcW w:w="1364" w:type="dxa"/>
            <w:tcBorders>
              <w:top w:val="nil"/>
            </w:tcBorders>
            <w:shd w:val="clear" w:color="auto" w:fill="auto"/>
            <w:tcMar>
              <w:left w:w="23" w:type="dxa"/>
            </w:tcMar>
          </w:tcPr>
          <w:p w:rsidR="006904E2" w:rsidRDefault="00010018">
            <w:pPr>
              <w:pStyle w:val="BodyText"/>
              <w:spacing w:after="0"/>
              <w:rPr>
                <w:rFonts w:asciiTheme="minorHAnsi" w:hAnsiTheme="minorHAnsi"/>
                <w:sz w:val="20"/>
                <w:szCs w:val="20"/>
              </w:rPr>
            </w:pPr>
            <w:r>
              <w:rPr>
                <w:rFonts w:asciiTheme="minorHAnsi" w:hAnsiTheme="minorHAnsi"/>
                <w:sz w:val="20"/>
                <w:szCs w:val="20"/>
                <w:u w:val="single"/>
              </w:rPr>
              <w:t>M</w:t>
            </w:r>
            <w:r>
              <w:rPr>
                <w:rFonts w:asciiTheme="minorHAnsi" w:hAnsiTheme="minorHAnsi"/>
                <w:sz w:val="20"/>
                <w:szCs w:val="20"/>
              </w:rPr>
              <w:t xml:space="preserve">aritime </w:t>
            </w:r>
            <w:r>
              <w:rPr>
                <w:rFonts w:asciiTheme="minorHAnsi" w:hAnsiTheme="minorHAnsi"/>
                <w:sz w:val="20"/>
                <w:szCs w:val="20"/>
                <w:u w:val="single"/>
              </w:rPr>
              <w:t>P</w:t>
            </w:r>
            <w:r>
              <w:rPr>
                <w:rFonts w:asciiTheme="minorHAnsi" w:hAnsiTheme="minorHAnsi"/>
                <w:sz w:val="20"/>
                <w:szCs w:val="20"/>
              </w:rPr>
              <w:t xml:space="preserve">ortfolio </w:t>
            </w:r>
            <w:r>
              <w:rPr>
                <w:rFonts w:asciiTheme="minorHAnsi" w:hAnsiTheme="minorHAnsi"/>
                <w:sz w:val="20"/>
                <w:szCs w:val="20"/>
                <w:u w:val="single"/>
              </w:rPr>
              <w:lastRenderedPageBreak/>
              <w:t>R</w:t>
            </w:r>
            <w:r>
              <w:rPr>
                <w:rFonts w:asciiTheme="minorHAnsi" w:hAnsiTheme="minorHAnsi"/>
                <w:sz w:val="20"/>
                <w:szCs w:val="20"/>
              </w:rPr>
              <w:t>egistry Service (MPR)</w:t>
            </w:r>
          </w:p>
        </w:tc>
        <w:tc>
          <w:tcPr>
            <w:tcW w:w="960" w:type="dxa"/>
            <w:tcBorders>
              <w:top w:val="nil"/>
            </w:tcBorders>
            <w:shd w:val="clear" w:color="auto" w:fill="auto"/>
            <w:tcMar>
              <w:left w:w="23" w:type="dxa"/>
            </w:tcMar>
            <w:vAlign w:val="center"/>
          </w:tcPr>
          <w:p w:rsidR="006904E2" w:rsidRDefault="006904E2">
            <w:pPr>
              <w:pStyle w:val="BodyText"/>
              <w:jc w:val="center"/>
              <w:rPr>
                <w:rFonts w:asciiTheme="minorHAnsi" w:hAnsiTheme="minorHAnsi"/>
                <w:sz w:val="20"/>
                <w:szCs w:val="20"/>
              </w:rPr>
            </w:pPr>
          </w:p>
        </w:tc>
        <w:tc>
          <w:tcPr>
            <w:tcW w:w="1921" w:type="dxa"/>
            <w:tcBorders>
              <w:top w:val="nil"/>
            </w:tcBorders>
            <w:shd w:val="clear" w:color="auto" w:fill="auto"/>
            <w:tcMar>
              <w:left w:w="23" w:type="dxa"/>
            </w:tcMar>
          </w:tcPr>
          <w:p w:rsidR="006904E2" w:rsidRDefault="00010018">
            <w:pPr>
              <w:pStyle w:val="BodyText"/>
              <w:jc w:val="center"/>
            </w:pPr>
            <w:r>
              <w:rPr>
                <w:rFonts w:asciiTheme="minorHAnsi" w:hAnsiTheme="minorHAnsi"/>
                <w:sz w:val="20"/>
                <w:szCs w:val="20"/>
              </w:rPr>
              <w:t>IALA Guideline 1114, chapter 3</w:t>
            </w:r>
          </w:p>
        </w:tc>
        <w:tc>
          <w:tcPr>
            <w:tcW w:w="975" w:type="dxa"/>
            <w:tcBorders>
              <w:top w:val="nil"/>
            </w:tcBorders>
            <w:shd w:val="clear" w:color="auto" w:fill="auto"/>
            <w:tcMar>
              <w:left w:w="23" w:type="dxa"/>
            </w:tcMar>
          </w:tcPr>
          <w:p w:rsidR="006904E2" w:rsidRDefault="006904E2">
            <w:pPr>
              <w:pStyle w:val="BodyText"/>
              <w:jc w:val="center"/>
              <w:rPr>
                <w:rFonts w:asciiTheme="minorHAnsi" w:hAnsiTheme="minorHAnsi"/>
                <w:sz w:val="20"/>
                <w:szCs w:val="20"/>
              </w:rPr>
            </w:pPr>
          </w:p>
        </w:tc>
        <w:tc>
          <w:tcPr>
            <w:tcW w:w="4365" w:type="dxa"/>
            <w:tcBorders>
              <w:top w:val="nil"/>
            </w:tcBorders>
            <w:shd w:val="clear" w:color="auto" w:fill="auto"/>
            <w:tcMar>
              <w:left w:w="23" w:type="dxa"/>
            </w:tcMar>
          </w:tcPr>
          <w:p w:rsidR="006904E2" w:rsidRDefault="00010018">
            <w:pPr>
              <w:pStyle w:val="BodyText"/>
              <w:spacing w:after="0"/>
            </w:pPr>
            <w:r>
              <w:rPr>
                <w:rFonts w:asciiTheme="minorHAnsi" w:hAnsiTheme="minorHAnsi"/>
                <w:sz w:val="20"/>
                <w:szCs w:val="20"/>
              </w:rPr>
              <w:t xml:space="preserve">In the context of the Common Shore-based System Architecture (CSSA), the </w:t>
            </w:r>
            <w:r>
              <w:rPr>
                <w:rFonts w:asciiTheme="minorHAnsi" w:hAnsiTheme="minorHAnsi"/>
                <w:sz w:val="20"/>
                <w:szCs w:val="20"/>
                <w:u w:val="single"/>
              </w:rPr>
              <w:t>M</w:t>
            </w:r>
            <w:r>
              <w:rPr>
                <w:rFonts w:asciiTheme="minorHAnsi" w:hAnsiTheme="minorHAnsi"/>
                <w:sz w:val="20"/>
                <w:szCs w:val="20"/>
              </w:rPr>
              <w:t xml:space="preserve">aritime </w:t>
            </w:r>
            <w:r>
              <w:rPr>
                <w:rFonts w:asciiTheme="minorHAnsi" w:hAnsiTheme="minorHAnsi"/>
                <w:sz w:val="20"/>
                <w:szCs w:val="20"/>
                <w:u w:val="single"/>
              </w:rPr>
              <w:t>P</w:t>
            </w:r>
            <w:r>
              <w:rPr>
                <w:rFonts w:asciiTheme="minorHAnsi" w:hAnsiTheme="minorHAnsi"/>
                <w:sz w:val="20"/>
                <w:szCs w:val="20"/>
              </w:rPr>
              <w:t xml:space="preserve">ortfolio </w:t>
            </w:r>
            <w:r>
              <w:rPr>
                <w:rFonts w:asciiTheme="minorHAnsi" w:hAnsiTheme="minorHAnsi"/>
                <w:sz w:val="20"/>
                <w:szCs w:val="20"/>
                <w:u w:val="single"/>
              </w:rPr>
              <w:t>R</w:t>
            </w:r>
            <w:r>
              <w:rPr>
                <w:rFonts w:asciiTheme="minorHAnsi" w:hAnsiTheme="minorHAnsi"/>
                <w:sz w:val="20"/>
                <w:szCs w:val="20"/>
              </w:rPr>
              <w:t xml:space="preserve">egistry </w:t>
            </w:r>
            <w:r>
              <w:rPr>
                <w:rFonts w:asciiTheme="minorHAnsi" w:hAnsiTheme="minorHAnsi"/>
                <w:sz w:val="20"/>
                <w:szCs w:val="20"/>
              </w:rPr>
              <w:lastRenderedPageBreak/>
              <w:t xml:space="preserve">Service (MPR) collects,  stores  and  provides  on  demand  all  meta-level  data  pertaining  to  service  portfolios  in and for the maritime domain, in particular the Maritime Service Portfolios (MSPs), as defined by IMO/IALA. In the context of the ‘Maritime Cloud,’ a local copy of the Maritime Identity Registry (MIR), as appropriate for the Common Shore-based System (CSS), and parts of the MSP Almanac could be located here too. The Maritime Portfolio Registry Service would thus support the </w:t>
            </w:r>
            <w:proofErr w:type="gramStart"/>
            <w:r>
              <w:rPr>
                <w:rFonts w:asciiTheme="minorHAnsi" w:hAnsiTheme="minorHAnsi"/>
                <w:sz w:val="20"/>
                <w:szCs w:val="20"/>
              </w:rPr>
              <w:t>interaction  of</w:t>
            </w:r>
            <w:proofErr w:type="gramEnd"/>
            <w:r>
              <w:rPr>
                <w:rFonts w:asciiTheme="minorHAnsi" w:hAnsiTheme="minorHAnsi"/>
                <w:sz w:val="20"/>
                <w:szCs w:val="20"/>
              </w:rPr>
              <w:t xml:space="preserve">  the CSS  with  the  ‘Maritime Cloud.’</w:t>
            </w:r>
          </w:p>
        </w:tc>
        <w:tc>
          <w:tcPr>
            <w:tcW w:w="1081" w:type="dxa"/>
            <w:tcBorders>
              <w:top w:val="nil"/>
            </w:tcBorders>
            <w:shd w:val="clear" w:color="auto" w:fill="auto"/>
            <w:tcMar>
              <w:left w:w="23" w:type="dxa"/>
            </w:tcMar>
          </w:tcPr>
          <w:p w:rsidR="006904E2" w:rsidRDefault="006904E2">
            <w:pPr>
              <w:pStyle w:val="BodyText"/>
              <w:jc w:val="left"/>
              <w:rPr>
                <w:rFonts w:asciiTheme="minorHAnsi" w:hAnsiTheme="minorHAnsi"/>
                <w:sz w:val="20"/>
                <w:szCs w:val="20"/>
              </w:rPr>
            </w:pPr>
          </w:p>
        </w:tc>
        <w:tc>
          <w:tcPr>
            <w:tcW w:w="1125" w:type="dxa"/>
            <w:tcBorders>
              <w:top w:val="nil"/>
            </w:tcBorders>
            <w:shd w:val="clear" w:color="auto" w:fill="auto"/>
            <w:tcMar>
              <w:left w:w="23" w:type="dxa"/>
            </w:tcMar>
            <w:vAlign w:val="center"/>
          </w:tcPr>
          <w:p w:rsidR="006904E2" w:rsidRDefault="006904E2">
            <w:pPr>
              <w:pStyle w:val="BodyText"/>
              <w:jc w:val="left"/>
              <w:rPr>
                <w:rFonts w:asciiTheme="minorHAnsi" w:hAnsiTheme="minorHAnsi"/>
                <w:sz w:val="20"/>
                <w:szCs w:val="20"/>
              </w:rPr>
            </w:pPr>
          </w:p>
        </w:tc>
        <w:tc>
          <w:tcPr>
            <w:tcW w:w="997" w:type="dxa"/>
            <w:tcBorders>
              <w:top w:val="nil"/>
            </w:tcBorders>
            <w:shd w:val="clear" w:color="auto" w:fill="auto"/>
            <w:tcMar>
              <w:left w:w="23" w:type="dxa"/>
            </w:tcMar>
          </w:tcPr>
          <w:p w:rsidR="006904E2" w:rsidRDefault="00010018">
            <w:pPr>
              <w:pStyle w:val="BodyText"/>
              <w:jc w:val="left"/>
              <w:rPr>
                <w:rFonts w:asciiTheme="minorHAnsi" w:hAnsiTheme="minorHAnsi"/>
                <w:sz w:val="20"/>
                <w:szCs w:val="20"/>
              </w:rPr>
            </w:pPr>
            <w:r>
              <w:rPr>
                <w:rFonts w:ascii="Calibri" w:hAnsi="Calibri"/>
                <w:sz w:val="20"/>
                <w:szCs w:val="20"/>
              </w:rPr>
              <w:t xml:space="preserve">New term </w:t>
            </w:r>
          </w:p>
        </w:tc>
        <w:tc>
          <w:tcPr>
            <w:tcW w:w="1072" w:type="dxa"/>
            <w:tcBorders>
              <w:top w:val="nil"/>
            </w:tcBorders>
            <w:shd w:val="clear" w:color="auto" w:fill="auto"/>
            <w:tcMar>
              <w:left w:w="23" w:type="dxa"/>
            </w:tcMar>
          </w:tcPr>
          <w:p w:rsidR="006904E2" w:rsidRDefault="00010018">
            <w:pPr>
              <w:pStyle w:val="BodyText"/>
              <w:jc w:val="left"/>
              <w:rPr>
                <w:rFonts w:asciiTheme="minorHAnsi" w:hAnsiTheme="minorHAnsi"/>
                <w:sz w:val="20"/>
                <w:szCs w:val="20"/>
              </w:rPr>
            </w:pPr>
            <w:r>
              <w:rPr>
                <w:rFonts w:ascii="Calibri" w:hAnsi="Calibri"/>
                <w:sz w:val="20"/>
                <w:szCs w:val="20"/>
              </w:rPr>
              <w:t>May 2015</w:t>
            </w:r>
          </w:p>
        </w:tc>
        <w:tc>
          <w:tcPr>
            <w:tcW w:w="924" w:type="dxa"/>
            <w:tcBorders>
              <w:top w:val="nil"/>
            </w:tcBorders>
            <w:shd w:val="clear" w:color="auto" w:fill="auto"/>
            <w:tcMar>
              <w:left w:w="23" w:type="dxa"/>
            </w:tcMar>
          </w:tcPr>
          <w:p w:rsidR="006904E2" w:rsidRDefault="00010018">
            <w:pPr>
              <w:pStyle w:val="BodyText"/>
              <w:rPr>
                <w:rFonts w:asciiTheme="minorHAnsi" w:hAnsiTheme="minorHAnsi"/>
                <w:sz w:val="20"/>
                <w:szCs w:val="20"/>
              </w:rPr>
            </w:pPr>
            <w:r>
              <w:rPr>
                <w:rFonts w:ascii="Calibri" w:hAnsi="Calibri"/>
                <w:sz w:val="20"/>
                <w:szCs w:val="20"/>
              </w:rPr>
              <w:t xml:space="preserve">IALA Council </w:t>
            </w:r>
            <w:r>
              <w:rPr>
                <w:rFonts w:ascii="Calibri" w:hAnsi="Calibri"/>
                <w:sz w:val="20"/>
                <w:szCs w:val="20"/>
              </w:rPr>
              <w:lastRenderedPageBreak/>
              <w:t>approved</w:t>
            </w:r>
          </w:p>
        </w:tc>
      </w:tr>
      <w:tr w:rsidR="006904E2">
        <w:tc>
          <w:tcPr>
            <w:tcW w:w="1364" w:type="dxa"/>
            <w:tcBorders>
              <w:top w:val="nil"/>
            </w:tcBorders>
            <w:shd w:val="clear" w:color="auto" w:fill="auto"/>
            <w:tcMar>
              <w:left w:w="23" w:type="dxa"/>
            </w:tcMar>
          </w:tcPr>
          <w:p w:rsidR="006904E2" w:rsidRDefault="00010018">
            <w:pPr>
              <w:pStyle w:val="BodyText"/>
              <w:spacing w:after="0"/>
              <w:rPr>
                <w:rFonts w:asciiTheme="minorHAnsi" w:hAnsiTheme="minorHAnsi"/>
                <w:sz w:val="20"/>
                <w:szCs w:val="20"/>
              </w:rPr>
            </w:pPr>
            <w:r>
              <w:rPr>
                <w:rFonts w:asciiTheme="minorHAnsi" w:hAnsiTheme="minorHAnsi"/>
                <w:sz w:val="20"/>
                <w:szCs w:val="20"/>
                <w:u w:val="single"/>
              </w:rPr>
              <w:lastRenderedPageBreak/>
              <w:t>M</w:t>
            </w:r>
            <w:r>
              <w:rPr>
                <w:rFonts w:asciiTheme="minorHAnsi" w:hAnsiTheme="minorHAnsi"/>
                <w:sz w:val="20"/>
                <w:szCs w:val="20"/>
              </w:rPr>
              <w:t xml:space="preserve">aritime </w:t>
            </w:r>
            <w:r>
              <w:rPr>
                <w:rFonts w:asciiTheme="minorHAnsi" w:hAnsiTheme="minorHAnsi"/>
                <w:sz w:val="20"/>
                <w:szCs w:val="20"/>
                <w:u w:val="single"/>
              </w:rPr>
              <w:t>M</w:t>
            </w:r>
            <w:r>
              <w:rPr>
                <w:rFonts w:asciiTheme="minorHAnsi" w:hAnsiTheme="minorHAnsi"/>
                <w:sz w:val="20"/>
                <w:szCs w:val="20"/>
              </w:rPr>
              <w:t xml:space="preserve">essaging </w:t>
            </w:r>
            <w:r>
              <w:rPr>
                <w:rFonts w:asciiTheme="minorHAnsi" w:hAnsiTheme="minorHAnsi"/>
                <w:sz w:val="20"/>
                <w:szCs w:val="20"/>
                <w:u w:val="single"/>
              </w:rPr>
              <w:t>S</w:t>
            </w:r>
            <w:r>
              <w:rPr>
                <w:rFonts w:asciiTheme="minorHAnsi" w:hAnsiTheme="minorHAnsi"/>
                <w:sz w:val="20"/>
                <w:szCs w:val="20"/>
              </w:rPr>
              <w:t>ervice (MMS)</w:t>
            </w:r>
          </w:p>
        </w:tc>
        <w:tc>
          <w:tcPr>
            <w:tcW w:w="960" w:type="dxa"/>
            <w:tcBorders>
              <w:top w:val="nil"/>
            </w:tcBorders>
            <w:shd w:val="clear" w:color="auto" w:fill="auto"/>
            <w:tcMar>
              <w:left w:w="23" w:type="dxa"/>
            </w:tcMar>
            <w:vAlign w:val="center"/>
          </w:tcPr>
          <w:p w:rsidR="006904E2" w:rsidRDefault="006904E2">
            <w:pPr>
              <w:pStyle w:val="BodyText"/>
              <w:jc w:val="center"/>
              <w:rPr>
                <w:rFonts w:asciiTheme="minorHAnsi" w:hAnsiTheme="minorHAnsi"/>
                <w:sz w:val="20"/>
                <w:szCs w:val="20"/>
              </w:rPr>
            </w:pPr>
          </w:p>
        </w:tc>
        <w:tc>
          <w:tcPr>
            <w:tcW w:w="1921" w:type="dxa"/>
            <w:tcBorders>
              <w:top w:val="nil"/>
            </w:tcBorders>
            <w:shd w:val="clear" w:color="auto" w:fill="auto"/>
            <w:tcMar>
              <w:left w:w="23" w:type="dxa"/>
            </w:tcMar>
          </w:tcPr>
          <w:p w:rsidR="006904E2" w:rsidRDefault="00010018">
            <w:pPr>
              <w:pStyle w:val="BodyText"/>
              <w:jc w:val="center"/>
            </w:pPr>
            <w:r>
              <w:rPr>
                <w:rFonts w:asciiTheme="minorHAnsi" w:hAnsiTheme="minorHAnsi"/>
                <w:sz w:val="20"/>
                <w:szCs w:val="20"/>
              </w:rPr>
              <w:t>IALA Guideline 1114, chapter 3</w:t>
            </w:r>
          </w:p>
        </w:tc>
        <w:tc>
          <w:tcPr>
            <w:tcW w:w="975" w:type="dxa"/>
            <w:tcBorders>
              <w:top w:val="nil"/>
            </w:tcBorders>
            <w:shd w:val="clear" w:color="auto" w:fill="auto"/>
            <w:tcMar>
              <w:left w:w="23" w:type="dxa"/>
            </w:tcMar>
          </w:tcPr>
          <w:p w:rsidR="006904E2" w:rsidRDefault="006904E2">
            <w:pPr>
              <w:pStyle w:val="BodyText"/>
              <w:jc w:val="center"/>
              <w:rPr>
                <w:rFonts w:asciiTheme="minorHAnsi" w:hAnsiTheme="minorHAnsi"/>
                <w:sz w:val="20"/>
                <w:szCs w:val="20"/>
              </w:rPr>
            </w:pPr>
          </w:p>
        </w:tc>
        <w:tc>
          <w:tcPr>
            <w:tcW w:w="4365" w:type="dxa"/>
            <w:tcBorders>
              <w:top w:val="nil"/>
            </w:tcBorders>
            <w:shd w:val="clear" w:color="auto" w:fill="auto"/>
            <w:tcMar>
              <w:left w:w="23" w:type="dxa"/>
            </w:tcMar>
          </w:tcPr>
          <w:p w:rsidR="006904E2" w:rsidRDefault="00010018">
            <w:pPr>
              <w:pStyle w:val="BodyText"/>
              <w:spacing w:after="0"/>
            </w:pPr>
            <w:r>
              <w:rPr>
                <w:rFonts w:asciiTheme="minorHAnsi" w:hAnsiTheme="minorHAnsi"/>
                <w:sz w:val="20"/>
                <w:szCs w:val="20"/>
              </w:rPr>
              <w:t xml:space="preserve">In the context of the Common Shore-based System Architecture (CSSA), the </w:t>
            </w:r>
            <w:r>
              <w:rPr>
                <w:rFonts w:asciiTheme="minorHAnsi" w:hAnsiTheme="minorHAnsi"/>
                <w:sz w:val="20"/>
                <w:szCs w:val="20"/>
                <w:u w:val="single"/>
              </w:rPr>
              <w:t>M</w:t>
            </w:r>
            <w:r>
              <w:rPr>
                <w:rFonts w:asciiTheme="minorHAnsi" w:hAnsiTheme="minorHAnsi"/>
                <w:sz w:val="20"/>
                <w:szCs w:val="20"/>
              </w:rPr>
              <w:t xml:space="preserve">aritime </w:t>
            </w:r>
            <w:r>
              <w:rPr>
                <w:rFonts w:asciiTheme="minorHAnsi" w:hAnsiTheme="minorHAnsi"/>
                <w:sz w:val="20"/>
                <w:szCs w:val="20"/>
                <w:u w:val="single"/>
              </w:rPr>
              <w:t>M</w:t>
            </w:r>
            <w:r>
              <w:rPr>
                <w:rFonts w:asciiTheme="minorHAnsi" w:hAnsiTheme="minorHAnsi"/>
                <w:sz w:val="20"/>
                <w:szCs w:val="20"/>
              </w:rPr>
              <w:t xml:space="preserve">essaging </w:t>
            </w:r>
            <w:r>
              <w:rPr>
                <w:rFonts w:asciiTheme="minorHAnsi" w:hAnsiTheme="minorHAnsi"/>
                <w:sz w:val="20"/>
                <w:szCs w:val="20"/>
                <w:u w:val="single"/>
              </w:rPr>
              <w:t>S</w:t>
            </w:r>
            <w:r>
              <w:rPr>
                <w:rFonts w:asciiTheme="minorHAnsi" w:hAnsiTheme="minorHAnsi"/>
                <w:sz w:val="20"/>
                <w:szCs w:val="20"/>
              </w:rPr>
              <w:t xml:space="preserve">ervice (MMS) is  the  technical  service  of  the Common Shore-based System (CSS)  specialized  in  composing  messages  encoded  in  technology-  or link-specific formats for telecommunication services such as AIS Application Specific Messages (ASM),for </w:t>
            </w:r>
            <w:proofErr w:type="spellStart"/>
            <w:r>
              <w:rPr>
                <w:rFonts w:asciiTheme="minorHAnsi" w:hAnsiTheme="minorHAnsi"/>
                <w:sz w:val="20"/>
                <w:szCs w:val="20"/>
              </w:rPr>
              <w:t>Navtex</w:t>
            </w:r>
            <w:proofErr w:type="spellEnd"/>
            <w:r>
              <w:rPr>
                <w:rFonts w:asciiTheme="minorHAnsi" w:hAnsiTheme="minorHAnsi"/>
                <w:sz w:val="20"/>
                <w:szCs w:val="20"/>
              </w:rPr>
              <w:t>, short message (for GSM), and  ‘T-Mode’  in  general,  from  high-level  abstractly  encoded  data  sentences received from requesting services. Also, the MMS could enable the CSS to interact with the Maritime Cloud.</w:t>
            </w:r>
          </w:p>
        </w:tc>
        <w:tc>
          <w:tcPr>
            <w:tcW w:w="1081" w:type="dxa"/>
            <w:tcBorders>
              <w:top w:val="nil"/>
            </w:tcBorders>
            <w:shd w:val="clear" w:color="auto" w:fill="auto"/>
            <w:tcMar>
              <w:left w:w="23" w:type="dxa"/>
            </w:tcMar>
          </w:tcPr>
          <w:p w:rsidR="006904E2" w:rsidRDefault="006904E2">
            <w:pPr>
              <w:pStyle w:val="BodyText"/>
              <w:jc w:val="left"/>
              <w:rPr>
                <w:rFonts w:asciiTheme="minorHAnsi" w:hAnsiTheme="minorHAnsi"/>
                <w:sz w:val="20"/>
                <w:szCs w:val="20"/>
              </w:rPr>
            </w:pPr>
          </w:p>
        </w:tc>
        <w:tc>
          <w:tcPr>
            <w:tcW w:w="1125" w:type="dxa"/>
            <w:tcBorders>
              <w:top w:val="nil"/>
            </w:tcBorders>
            <w:shd w:val="clear" w:color="auto" w:fill="auto"/>
            <w:tcMar>
              <w:left w:w="23" w:type="dxa"/>
            </w:tcMar>
            <w:vAlign w:val="center"/>
          </w:tcPr>
          <w:p w:rsidR="006904E2" w:rsidRDefault="006904E2">
            <w:pPr>
              <w:pStyle w:val="BodyText"/>
              <w:jc w:val="left"/>
              <w:rPr>
                <w:rFonts w:asciiTheme="minorHAnsi" w:hAnsiTheme="minorHAnsi"/>
                <w:sz w:val="20"/>
                <w:szCs w:val="20"/>
              </w:rPr>
            </w:pPr>
          </w:p>
        </w:tc>
        <w:tc>
          <w:tcPr>
            <w:tcW w:w="997" w:type="dxa"/>
            <w:tcBorders>
              <w:top w:val="nil"/>
            </w:tcBorders>
            <w:shd w:val="clear" w:color="auto" w:fill="auto"/>
            <w:tcMar>
              <w:left w:w="23" w:type="dxa"/>
            </w:tcMar>
          </w:tcPr>
          <w:p w:rsidR="006904E2" w:rsidRDefault="00010018">
            <w:pPr>
              <w:pStyle w:val="BodyText"/>
              <w:jc w:val="left"/>
              <w:rPr>
                <w:rFonts w:asciiTheme="minorHAnsi" w:hAnsiTheme="minorHAnsi"/>
                <w:sz w:val="20"/>
                <w:szCs w:val="20"/>
              </w:rPr>
            </w:pPr>
            <w:r>
              <w:rPr>
                <w:rFonts w:ascii="Calibri" w:hAnsi="Calibri"/>
                <w:sz w:val="20"/>
                <w:szCs w:val="20"/>
              </w:rPr>
              <w:t xml:space="preserve">New term </w:t>
            </w:r>
          </w:p>
        </w:tc>
        <w:tc>
          <w:tcPr>
            <w:tcW w:w="1072" w:type="dxa"/>
            <w:tcBorders>
              <w:top w:val="nil"/>
            </w:tcBorders>
            <w:shd w:val="clear" w:color="auto" w:fill="auto"/>
            <w:tcMar>
              <w:left w:w="23" w:type="dxa"/>
            </w:tcMar>
          </w:tcPr>
          <w:p w:rsidR="006904E2" w:rsidRDefault="00010018">
            <w:pPr>
              <w:pStyle w:val="BodyText"/>
              <w:jc w:val="left"/>
              <w:rPr>
                <w:rFonts w:asciiTheme="minorHAnsi" w:hAnsiTheme="minorHAnsi"/>
                <w:sz w:val="20"/>
                <w:szCs w:val="20"/>
              </w:rPr>
            </w:pPr>
            <w:r>
              <w:rPr>
                <w:rFonts w:ascii="Calibri" w:hAnsi="Calibri"/>
                <w:sz w:val="20"/>
                <w:szCs w:val="20"/>
              </w:rPr>
              <w:t>May 2015</w:t>
            </w:r>
          </w:p>
        </w:tc>
        <w:tc>
          <w:tcPr>
            <w:tcW w:w="924" w:type="dxa"/>
            <w:tcBorders>
              <w:top w:val="nil"/>
            </w:tcBorders>
            <w:shd w:val="clear" w:color="auto" w:fill="auto"/>
            <w:tcMar>
              <w:left w:w="23" w:type="dxa"/>
            </w:tcMar>
          </w:tcPr>
          <w:p w:rsidR="006904E2" w:rsidRDefault="00010018">
            <w:pPr>
              <w:pStyle w:val="BodyText"/>
              <w:rPr>
                <w:rFonts w:asciiTheme="minorHAnsi" w:hAnsiTheme="minorHAnsi"/>
                <w:sz w:val="20"/>
                <w:szCs w:val="20"/>
              </w:rPr>
            </w:pPr>
            <w:r>
              <w:rPr>
                <w:rFonts w:ascii="Calibri" w:hAnsi="Calibri"/>
                <w:sz w:val="20"/>
                <w:szCs w:val="20"/>
              </w:rPr>
              <w:t>IALA Council approved</w:t>
            </w:r>
          </w:p>
        </w:tc>
      </w:tr>
      <w:tr w:rsidR="006904E2">
        <w:tc>
          <w:tcPr>
            <w:tcW w:w="1364" w:type="dxa"/>
            <w:tcBorders>
              <w:top w:val="nil"/>
            </w:tcBorders>
            <w:shd w:val="clear" w:color="auto" w:fill="auto"/>
            <w:tcMar>
              <w:left w:w="23" w:type="dxa"/>
            </w:tcMar>
          </w:tcPr>
          <w:p w:rsidR="006904E2" w:rsidRDefault="00010018">
            <w:pPr>
              <w:pStyle w:val="BodyText"/>
              <w:spacing w:after="0"/>
              <w:rPr>
                <w:rFonts w:asciiTheme="minorHAnsi" w:hAnsiTheme="minorHAnsi"/>
                <w:sz w:val="20"/>
                <w:szCs w:val="20"/>
              </w:rPr>
            </w:pPr>
            <w:r>
              <w:rPr>
                <w:rFonts w:asciiTheme="minorHAnsi" w:hAnsiTheme="minorHAnsi"/>
                <w:sz w:val="20"/>
                <w:szCs w:val="20"/>
                <w:u w:val="single"/>
              </w:rPr>
              <w:t>D</w:t>
            </w:r>
            <w:r>
              <w:rPr>
                <w:rFonts w:asciiTheme="minorHAnsi" w:hAnsiTheme="minorHAnsi"/>
                <w:sz w:val="20"/>
                <w:szCs w:val="20"/>
              </w:rPr>
              <w:t xml:space="preserve">ata </w:t>
            </w:r>
            <w:r>
              <w:rPr>
                <w:rFonts w:asciiTheme="minorHAnsi" w:hAnsiTheme="minorHAnsi"/>
                <w:sz w:val="20"/>
                <w:szCs w:val="20"/>
                <w:u w:val="single"/>
              </w:rPr>
              <w:t>M</w:t>
            </w:r>
            <w:r>
              <w:rPr>
                <w:rFonts w:asciiTheme="minorHAnsi" w:hAnsiTheme="minorHAnsi"/>
                <w:sz w:val="20"/>
                <w:szCs w:val="20"/>
              </w:rPr>
              <w:t xml:space="preserve">ining </w:t>
            </w:r>
            <w:r>
              <w:rPr>
                <w:rFonts w:asciiTheme="minorHAnsi" w:hAnsiTheme="minorHAnsi"/>
                <w:sz w:val="20"/>
                <w:szCs w:val="20"/>
                <w:u w:val="single"/>
              </w:rPr>
              <w:t>S</w:t>
            </w:r>
            <w:r>
              <w:rPr>
                <w:rFonts w:asciiTheme="minorHAnsi" w:hAnsiTheme="minorHAnsi"/>
                <w:sz w:val="20"/>
                <w:szCs w:val="20"/>
              </w:rPr>
              <w:t>ervice (DMS)</w:t>
            </w:r>
          </w:p>
        </w:tc>
        <w:tc>
          <w:tcPr>
            <w:tcW w:w="960" w:type="dxa"/>
            <w:tcBorders>
              <w:top w:val="nil"/>
            </w:tcBorders>
            <w:shd w:val="clear" w:color="auto" w:fill="auto"/>
            <w:tcMar>
              <w:left w:w="23" w:type="dxa"/>
            </w:tcMar>
            <w:vAlign w:val="center"/>
          </w:tcPr>
          <w:p w:rsidR="006904E2" w:rsidRDefault="006904E2">
            <w:pPr>
              <w:pStyle w:val="BodyText"/>
              <w:jc w:val="center"/>
              <w:rPr>
                <w:rFonts w:asciiTheme="minorHAnsi" w:hAnsiTheme="minorHAnsi"/>
                <w:sz w:val="20"/>
                <w:szCs w:val="20"/>
              </w:rPr>
            </w:pPr>
          </w:p>
        </w:tc>
        <w:tc>
          <w:tcPr>
            <w:tcW w:w="1921" w:type="dxa"/>
            <w:tcBorders>
              <w:top w:val="nil"/>
            </w:tcBorders>
            <w:shd w:val="clear" w:color="auto" w:fill="auto"/>
            <w:tcMar>
              <w:left w:w="23" w:type="dxa"/>
            </w:tcMar>
          </w:tcPr>
          <w:p w:rsidR="006904E2" w:rsidRDefault="00010018">
            <w:pPr>
              <w:pStyle w:val="BodyText"/>
              <w:jc w:val="center"/>
            </w:pPr>
            <w:r>
              <w:rPr>
                <w:rFonts w:asciiTheme="minorHAnsi" w:hAnsiTheme="minorHAnsi"/>
                <w:sz w:val="20"/>
                <w:szCs w:val="20"/>
              </w:rPr>
              <w:t>IALA Guideline 1114, chapter 3</w:t>
            </w:r>
          </w:p>
        </w:tc>
        <w:tc>
          <w:tcPr>
            <w:tcW w:w="975" w:type="dxa"/>
            <w:tcBorders>
              <w:top w:val="nil"/>
            </w:tcBorders>
            <w:shd w:val="clear" w:color="auto" w:fill="auto"/>
            <w:tcMar>
              <w:left w:w="23" w:type="dxa"/>
            </w:tcMar>
          </w:tcPr>
          <w:p w:rsidR="006904E2" w:rsidRDefault="006904E2">
            <w:pPr>
              <w:pStyle w:val="BodyText"/>
              <w:jc w:val="center"/>
              <w:rPr>
                <w:rFonts w:asciiTheme="minorHAnsi" w:hAnsiTheme="minorHAnsi"/>
                <w:sz w:val="20"/>
                <w:szCs w:val="20"/>
              </w:rPr>
            </w:pPr>
          </w:p>
        </w:tc>
        <w:tc>
          <w:tcPr>
            <w:tcW w:w="4365" w:type="dxa"/>
            <w:tcBorders>
              <w:top w:val="nil"/>
            </w:tcBorders>
            <w:shd w:val="clear" w:color="auto" w:fill="auto"/>
            <w:tcMar>
              <w:left w:w="23" w:type="dxa"/>
            </w:tcMar>
          </w:tcPr>
          <w:p w:rsidR="006904E2" w:rsidRDefault="00010018">
            <w:pPr>
              <w:pStyle w:val="BodyText"/>
              <w:spacing w:after="0"/>
            </w:pPr>
            <w:r>
              <w:rPr>
                <w:rFonts w:asciiTheme="minorHAnsi" w:hAnsiTheme="minorHAnsi"/>
                <w:sz w:val="20"/>
                <w:szCs w:val="20"/>
              </w:rPr>
              <w:t xml:space="preserve">In the context of the Common Shore-based System Architecture (CSSA), the </w:t>
            </w:r>
            <w:r>
              <w:rPr>
                <w:rFonts w:asciiTheme="minorHAnsi" w:hAnsiTheme="minorHAnsi"/>
                <w:sz w:val="20"/>
                <w:szCs w:val="20"/>
                <w:u w:val="single"/>
              </w:rPr>
              <w:t>D</w:t>
            </w:r>
            <w:r>
              <w:rPr>
                <w:rFonts w:asciiTheme="minorHAnsi" w:hAnsiTheme="minorHAnsi"/>
                <w:sz w:val="20"/>
                <w:szCs w:val="20"/>
              </w:rPr>
              <w:t xml:space="preserve">ata </w:t>
            </w:r>
            <w:r>
              <w:rPr>
                <w:rFonts w:asciiTheme="minorHAnsi" w:hAnsiTheme="minorHAnsi"/>
                <w:sz w:val="20"/>
                <w:szCs w:val="20"/>
                <w:u w:val="single"/>
              </w:rPr>
              <w:t>M</w:t>
            </w:r>
            <w:r>
              <w:rPr>
                <w:rFonts w:asciiTheme="minorHAnsi" w:hAnsiTheme="minorHAnsi"/>
                <w:sz w:val="20"/>
                <w:szCs w:val="20"/>
              </w:rPr>
              <w:t xml:space="preserve">ining </w:t>
            </w:r>
            <w:r>
              <w:rPr>
                <w:rFonts w:asciiTheme="minorHAnsi" w:hAnsiTheme="minorHAnsi"/>
                <w:sz w:val="20"/>
                <w:szCs w:val="20"/>
                <w:u w:val="single"/>
              </w:rPr>
              <w:t>S</w:t>
            </w:r>
            <w:r>
              <w:rPr>
                <w:rFonts w:asciiTheme="minorHAnsi" w:hAnsiTheme="minorHAnsi"/>
                <w:sz w:val="20"/>
                <w:szCs w:val="20"/>
              </w:rPr>
              <w:t xml:space="preserve">ervice (DMS) </w:t>
            </w:r>
            <w:proofErr w:type="gramStart"/>
            <w:r>
              <w:rPr>
                <w:rFonts w:asciiTheme="minorHAnsi" w:hAnsiTheme="minorHAnsi"/>
                <w:sz w:val="20"/>
                <w:szCs w:val="20"/>
              </w:rPr>
              <w:t>allows  for</w:t>
            </w:r>
            <w:proofErr w:type="gramEnd"/>
            <w:r>
              <w:rPr>
                <w:rFonts w:asciiTheme="minorHAnsi" w:hAnsiTheme="minorHAnsi"/>
                <w:sz w:val="20"/>
                <w:szCs w:val="20"/>
              </w:rPr>
              <w:t xml:space="preserve">  complex  queries  on  present and historical data available from all other technical services of the system. It creates stores and provides reports to the requesting service.</w:t>
            </w:r>
          </w:p>
        </w:tc>
        <w:tc>
          <w:tcPr>
            <w:tcW w:w="1081" w:type="dxa"/>
            <w:tcBorders>
              <w:top w:val="nil"/>
            </w:tcBorders>
            <w:shd w:val="clear" w:color="auto" w:fill="auto"/>
            <w:tcMar>
              <w:left w:w="23" w:type="dxa"/>
            </w:tcMar>
          </w:tcPr>
          <w:p w:rsidR="006904E2" w:rsidRDefault="006904E2">
            <w:pPr>
              <w:pStyle w:val="BodyText"/>
              <w:jc w:val="left"/>
              <w:rPr>
                <w:rFonts w:asciiTheme="minorHAnsi" w:hAnsiTheme="minorHAnsi"/>
                <w:sz w:val="20"/>
                <w:szCs w:val="20"/>
              </w:rPr>
            </w:pPr>
          </w:p>
        </w:tc>
        <w:tc>
          <w:tcPr>
            <w:tcW w:w="1125" w:type="dxa"/>
            <w:tcBorders>
              <w:top w:val="nil"/>
            </w:tcBorders>
            <w:shd w:val="clear" w:color="auto" w:fill="auto"/>
            <w:tcMar>
              <w:left w:w="23" w:type="dxa"/>
            </w:tcMar>
            <w:vAlign w:val="center"/>
          </w:tcPr>
          <w:p w:rsidR="006904E2" w:rsidRDefault="006904E2">
            <w:pPr>
              <w:pStyle w:val="BodyText"/>
              <w:jc w:val="left"/>
              <w:rPr>
                <w:rFonts w:asciiTheme="minorHAnsi" w:hAnsiTheme="minorHAnsi"/>
                <w:sz w:val="20"/>
                <w:szCs w:val="20"/>
              </w:rPr>
            </w:pPr>
          </w:p>
        </w:tc>
        <w:tc>
          <w:tcPr>
            <w:tcW w:w="997" w:type="dxa"/>
            <w:tcBorders>
              <w:top w:val="nil"/>
            </w:tcBorders>
            <w:shd w:val="clear" w:color="auto" w:fill="auto"/>
            <w:tcMar>
              <w:left w:w="23" w:type="dxa"/>
            </w:tcMar>
          </w:tcPr>
          <w:p w:rsidR="006904E2" w:rsidRDefault="00010018">
            <w:pPr>
              <w:pStyle w:val="BodyText"/>
              <w:jc w:val="left"/>
              <w:rPr>
                <w:rFonts w:asciiTheme="minorHAnsi" w:hAnsiTheme="minorHAnsi"/>
                <w:sz w:val="20"/>
                <w:szCs w:val="20"/>
              </w:rPr>
            </w:pPr>
            <w:r>
              <w:rPr>
                <w:rFonts w:ascii="Calibri" w:hAnsi="Calibri"/>
                <w:sz w:val="20"/>
                <w:szCs w:val="20"/>
              </w:rPr>
              <w:t xml:space="preserve">New term </w:t>
            </w:r>
          </w:p>
        </w:tc>
        <w:tc>
          <w:tcPr>
            <w:tcW w:w="1072" w:type="dxa"/>
            <w:tcBorders>
              <w:top w:val="nil"/>
            </w:tcBorders>
            <w:shd w:val="clear" w:color="auto" w:fill="auto"/>
            <w:tcMar>
              <w:left w:w="23" w:type="dxa"/>
            </w:tcMar>
          </w:tcPr>
          <w:p w:rsidR="006904E2" w:rsidRDefault="00010018">
            <w:pPr>
              <w:pStyle w:val="BodyText"/>
              <w:jc w:val="left"/>
              <w:rPr>
                <w:rFonts w:asciiTheme="minorHAnsi" w:hAnsiTheme="minorHAnsi"/>
                <w:sz w:val="20"/>
                <w:szCs w:val="20"/>
              </w:rPr>
            </w:pPr>
            <w:r>
              <w:rPr>
                <w:rFonts w:ascii="Calibri" w:hAnsi="Calibri"/>
                <w:sz w:val="20"/>
                <w:szCs w:val="20"/>
              </w:rPr>
              <w:t>May 2015</w:t>
            </w:r>
          </w:p>
        </w:tc>
        <w:tc>
          <w:tcPr>
            <w:tcW w:w="924" w:type="dxa"/>
            <w:tcBorders>
              <w:top w:val="nil"/>
            </w:tcBorders>
            <w:shd w:val="clear" w:color="auto" w:fill="auto"/>
            <w:tcMar>
              <w:left w:w="23" w:type="dxa"/>
            </w:tcMar>
          </w:tcPr>
          <w:p w:rsidR="006904E2" w:rsidRDefault="00010018">
            <w:pPr>
              <w:pStyle w:val="BodyText"/>
              <w:rPr>
                <w:rFonts w:asciiTheme="minorHAnsi" w:hAnsiTheme="minorHAnsi"/>
                <w:sz w:val="20"/>
                <w:szCs w:val="20"/>
              </w:rPr>
            </w:pPr>
            <w:r>
              <w:rPr>
                <w:rFonts w:ascii="Calibri" w:hAnsi="Calibri"/>
                <w:sz w:val="20"/>
                <w:szCs w:val="20"/>
              </w:rPr>
              <w:t>IALA Council approved</w:t>
            </w:r>
          </w:p>
        </w:tc>
      </w:tr>
      <w:tr w:rsidR="006904E2">
        <w:tc>
          <w:tcPr>
            <w:tcW w:w="1364" w:type="dxa"/>
            <w:tcBorders>
              <w:top w:val="nil"/>
            </w:tcBorders>
            <w:shd w:val="clear" w:color="auto" w:fill="auto"/>
            <w:tcMar>
              <w:left w:w="23" w:type="dxa"/>
            </w:tcMar>
          </w:tcPr>
          <w:p w:rsidR="006904E2" w:rsidRDefault="00010018">
            <w:pPr>
              <w:pStyle w:val="BodyText"/>
              <w:spacing w:after="0"/>
              <w:jc w:val="left"/>
              <w:rPr>
                <w:rFonts w:asciiTheme="minorHAnsi" w:hAnsiTheme="minorHAnsi"/>
                <w:sz w:val="20"/>
                <w:szCs w:val="20"/>
              </w:rPr>
            </w:pPr>
            <w:r>
              <w:rPr>
                <w:rFonts w:asciiTheme="minorHAnsi" w:hAnsiTheme="minorHAnsi"/>
                <w:sz w:val="20"/>
                <w:szCs w:val="20"/>
                <w:u w:val="single"/>
              </w:rPr>
              <w:t>S</w:t>
            </w:r>
            <w:r>
              <w:rPr>
                <w:rFonts w:asciiTheme="minorHAnsi" w:hAnsiTheme="minorHAnsi"/>
                <w:sz w:val="20"/>
                <w:szCs w:val="20"/>
              </w:rPr>
              <w:t>hore-</w:t>
            </w:r>
            <w:r>
              <w:rPr>
                <w:rFonts w:asciiTheme="minorHAnsi" w:hAnsiTheme="minorHAnsi"/>
                <w:sz w:val="20"/>
                <w:szCs w:val="20"/>
                <w:u w:val="single"/>
              </w:rPr>
              <w:t>B</w:t>
            </w:r>
            <w:r>
              <w:rPr>
                <w:rFonts w:asciiTheme="minorHAnsi" w:hAnsiTheme="minorHAnsi"/>
                <w:sz w:val="20"/>
                <w:szCs w:val="20"/>
              </w:rPr>
              <w:t xml:space="preserve">ased Wide Area </w:t>
            </w:r>
            <w:r>
              <w:rPr>
                <w:rFonts w:asciiTheme="minorHAnsi" w:hAnsiTheme="minorHAnsi"/>
                <w:sz w:val="20"/>
                <w:szCs w:val="20"/>
                <w:u w:val="single"/>
              </w:rPr>
              <w:t>N</w:t>
            </w:r>
            <w:r>
              <w:rPr>
                <w:rFonts w:asciiTheme="minorHAnsi" w:hAnsiTheme="minorHAnsi"/>
                <w:sz w:val="20"/>
                <w:szCs w:val="20"/>
              </w:rPr>
              <w:t>etwork Service (SBN)</w:t>
            </w:r>
          </w:p>
        </w:tc>
        <w:tc>
          <w:tcPr>
            <w:tcW w:w="960" w:type="dxa"/>
            <w:tcBorders>
              <w:top w:val="nil"/>
            </w:tcBorders>
            <w:shd w:val="clear" w:color="auto" w:fill="auto"/>
            <w:tcMar>
              <w:left w:w="23" w:type="dxa"/>
            </w:tcMar>
            <w:vAlign w:val="center"/>
          </w:tcPr>
          <w:p w:rsidR="006904E2" w:rsidRDefault="006904E2">
            <w:pPr>
              <w:pStyle w:val="BodyText"/>
              <w:jc w:val="center"/>
              <w:rPr>
                <w:rFonts w:asciiTheme="minorHAnsi" w:hAnsiTheme="minorHAnsi"/>
                <w:sz w:val="20"/>
                <w:szCs w:val="20"/>
              </w:rPr>
            </w:pPr>
          </w:p>
        </w:tc>
        <w:tc>
          <w:tcPr>
            <w:tcW w:w="1921" w:type="dxa"/>
            <w:tcBorders>
              <w:top w:val="nil"/>
            </w:tcBorders>
            <w:shd w:val="clear" w:color="auto" w:fill="auto"/>
            <w:tcMar>
              <w:left w:w="23" w:type="dxa"/>
            </w:tcMar>
          </w:tcPr>
          <w:p w:rsidR="006904E2" w:rsidRDefault="00010018">
            <w:pPr>
              <w:pStyle w:val="BodyText"/>
              <w:jc w:val="center"/>
            </w:pPr>
            <w:r>
              <w:rPr>
                <w:rFonts w:asciiTheme="minorHAnsi" w:hAnsiTheme="minorHAnsi"/>
                <w:sz w:val="20"/>
                <w:szCs w:val="20"/>
              </w:rPr>
              <w:t>IALA Guideline 1114, chapter 3</w:t>
            </w:r>
          </w:p>
        </w:tc>
        <w:tc>
          <w:tcPr>
            <w:tcW w:w="975" w:type="dxa"/>
            <w:tcBorders>
              <w:top w:val="nil"/>
            </w:tcBorders>
            <w:shd w:val="clear" w:color="auto" w:fill="auto"/>
            <w:tcMar>
              <w:left w:w="23" w:type="dxa"/>
            </w:tcMar>
          </w:tcPr>
          <w:p w:rsidR="006904E2" w:rsidRDefault="006904E2">
            <w:pPr>
              <w:pStyle w:val="BodyText"/>
              <w:jc w:val="center"/>
              <w:rPr>
                <w:rFonts w:asciiTheme="minorHAnsi" w:hAnsiTheme="minorHAnsi"/>
                <w:sz w:val="20"/>
                <w:szCs w:val="20"/>
              </w:rPr>
            </w:pPr>
          </w:p>
        </w:tc>
        <w:tc>
          <w:tcPr>
            <w:tcW w:w="4365" w:type="dxa"/>
            <w:tcBorders>
              <w:top w:val="nil"/>
            </w:tcBorders>
            <w:shd w:val="clear" w:color="auto" w:fill="auto"/>
            <w:tcMar>
              <w:left w:w="23" w:type="dxa"/>
            </w:tcMar>
          </w:tcPr>
          <w:p w:rsidR="006904E2" w:rsidRDefault="00010018">
            <w:pPr>
              <w:pStyle w:val="BodyText"/>
              <w:spacing w:after="0"/>
            </w:pPr>
            <w:r>
              <w:rPr>
                <w:rFonts w:asciiTheme="minorHAnsi" w:hAnsiTheme="minorHAnsi"/>
                <w:sz w:val="20"/>
                <w:szCs w:val="20"/>
              </w:rPr>
              <w:t xml:space="preserve">In the context of the Common Shore-based System Architecture (CSSA), the </w:t>
            </w:r>
            <w:r>
              <w:rPr>
                <w:rFonts w:asciiTheme="minorHAnsi" w:hAnsiTheme="minorHAnsi"/>
                <w:sz w:val="20"/>
                <w:szCs w:val="20"/>
                <w:u w:val="single"/>
              </w:rPr>
              <w:t>S</w:t>
            </w:r>
            <w:r>
              <w:rPr>
                <w:rFonts w:asciiTheme="minorHAnsi" w:hAnsiTheme="minorHAnsi"/>
                <w:sz w:val="20"/>
                <w:szCs w:val="20"/>
              </w:rPr>
              <w:t>hore-</w:t>
            </w:r>
            <w:r>
              <w:rPr>
                <w:rFonts w:asciiTheme="minorHAnsi" w:hAnsiTheme="minorHAnsi"/>
                <w:sz w:val="20"/>
                <w:szCs w:val="20"/>
                <w:u w:val="single"/>
              </w:rPr>
              <w:t>B</w:t>
            </w:r>
            <w:r>
              <w:rPr>
                <w:rFonts w:asciiTheme="minorHAnsi" w:hAnsiTheme="minorHAnsi"/>
                <w:sz w:val="20"/>
                <w:szCs w:val="20"/>
              </w:rPr>
              <w:t xml:space="preserve">ased Wide Area </w:t>
            </w:r>
            <w:r>
              <w:rPr>
                <w:rFonts w:asciiTheme="minorHAnsi" w:hAnsiTheme="minorHAnsi"/>
                <w:sz w:val="20"/>
                <w:szCs w:val="20"/>
                <w:u w:val="single"/>
              </w:rPr>
              <w:t>N</w:t>
            </w:r>
            <w:r>
              <w:rPr>
                <w:rFonts w:asciiTheme="minorHAnsi" w:hAnsiTheme="minorHAnsi"/>
                <w:sz w:val="20"/>
                <w:szCs w:val="20"/>
              </w:rPr>
              <w:t xml:space="preserve">etwork Service (SBN) is a utility service, which support any other requesting service of the CSS. It provides the feeder link and the </w:t>
            </w:r>
            <w:proofErr w:type="gramStart"/>
            <w:r>
              <w:rPr>
                <w:rFonts w:asciiTheme="minorHAnsi" w:hAnsiTheme="minorHAnsi"/>
                <w:sz w:val="20"/>
                <w:szCs w:val="20"/>
              </w:rPr>
              <w:t>backbone  connectivity</w:t>
            </w:r>
            <w:proofErr w:type="gramEnd"/>
            <w:r>
              <w:rPr>
                <w:rFonts w:asciiTheme="minorHAnsi" w:hAnsiTheme="minorHAnsi"/>
                <w:sz w:val="20"/>
                <w:szCs w:val="20"/>
              </w:rPr>
              <w:t xml:space="preserve"> for the individual services of the Common Shore-based System (CSS).</w:t>
            </w:r>
          </w:p>
        </w:tc>
        <w:tc>
          <w:tcPr>
            <w:tcW w:w="1081" w:type="dxa"/>
            <w:tcBorders>
              <w:top w:val="nil"/>
            </w:tcBorders>
            <w:shd w:val="clear" w:color="auto" w:fill="auto"/>
            <w:tcMar>
              <w:left w:w="23" w:type="dxa"/>
            </w:tcMar>
          </w:tcPr>
          <w:p w:rsidR="006904E2" w:rsidRDefault="006904E2">
            <w:pPr>
              <w:pStyle w:val="BodyText"/>
              <w:jc w:val="left"/>
              <w:rPr>
                <w:rFonts w:asciiTheme="minorHAnsi" w:hAnsiTheme="minorHAnsi"/>
                <w:sz w:val="20"/>
                <w:szCs w:val="20"/>
              </w:rPr>
            </w:pPr>
          </w:p>
        </w:tc>
        <w:tc>
          <w:tcPr>
            <w:tcW w:w="1125" w:type="dxa"/>
            <w:tcBorders>
              <w:top w:val="nil"/>
            </w:tcBorders>
            <w:shd w:val="clear" w:color="auto" w:fill="auto"/>
            <w:tcMar>
              <w:left w:w="23" w:type="dxa"/>
            </w:tcMar>
            <w:vAlign w:val="center"/>
          </w:tcPr>
          <w:p w:rsidR="006904E2" w:rsidRDefault="006904E2">
            <w:pPr>
              <w:pStyle w:val="BodyText"/>
              <w:jc w:val="left"/>
              <w:rPr>
                <w:rFonts w:asciiTheme="minorHAnsi" w:hAnsiTheme="minorHAnsi"/>
                <w:sz w:val="20"/>
                <w:szCs w:val="20"/>
              </w:rPr>
            </w:pPr>
          </w:p>
        </w:tc>
        <w:tc>
          <w:tcPr>
            <w:tcW w:w="997" w:type="dxa"/>
            <w:tcBorders>
              <w:top w:val="nil"/>
            </w:tcBorders>
            <w:shd w:val="clear" w:color="auto" w:fill="auto"/>
            <w:tcMar>
              <w:left w:w="23" w:type="dxa"/>
            </w:tcMar>
          </w:tcPr>
          <w:p w:rsidR="006904E2" w:rsidRDefault="00010018">
            <w:pPr>
              <w:pStyle w:val="BodyText"/>
              <w:jc w:val="left"/>
              <w:rPr>
                <w:rFonts w:asciiTheme="minorHAnsi" w:hAnsiTheme="minorHAnsi"/>
                <w:sz w:val="20"/>
                <w:szCs w:val="20"/>
              </w:rPr>
            </w:pPr>
            <w:r>
              <w:rPr>
                <w:rFonts w:ascii="Calibri" w:hAnsi="Calibri"/>
                <w:sz w:val="20"/>
                <w:szCs w:val="20"/>
              </w:rPr>
              <w:t xml:space="preserve">New term </w:t>
            </w:r>
          </w:p>
        </w:tc>
        <w:tc>
          <w:tcPr>
            <w:tcW w:w="1072" w:type="dxa"/>
            <w:tcBorders>
              <w:top w:val="nil"/>
            </w:tcBorders>
            <w:shd w:val="clear" w:color="auto" w:fill="auto"/>
            <w:tcMar>
              <w:left w:w="23" w:type="dxa"/>
            </w:tcMar>
          </w:tcPr>
          <w:p w:rsidR="006904E2" w:rsidRDefault="00010018">
            <w:pPr>
              <w:pStyle w:val="BodyText"/>
              <w:jc w:val="left"/>
              <w:rPr>
                <w:rFonts w:asciiTheme="minorHAnsi" w:hAnsiTheme="minorHAnsi"/>
                <w:sz w:val="20"/>
                <w:szCs w:val="20"/>
              </w:rPr>
            </w:pPr>
            <w:r>
              <w:rPr>
                <w:rFonts w:ascii="Calibri" w:hAnsi="Calibri"/>
                <w:sz w:val="20"/>
                <w:szCs w:val="20"/>
              </w:rPr>
              <w:t>May 2015</w:t>
            </w:r>
          </w:p>
        </w:tc>
        <w:tc>
          <w:tcPr>
            <w:tcW w:w="924" w:type="dxa"/>
            <w:tcBorders>
              <w:top w:val="nil"/>
            </w:tcBorders>
            <w:shd w:val="clear" w:color="auto" w:fill="auto"/>
            <w:tcMar>
              <w:left w:w="23" w:type="dxa"/>
            </w:tcMar>
          </w:tcPr>
          <w:p w:rsidR="006904E2" w:rsidRDefault="00010018">
            <w:pPr>
              <w:pStyle w:val="BodyText"/>
              <w:rPr>
                <w:rFonts w:asciiTheme="minorHAnsi" w:hAnsiTheme="minorHAnsi"/>
                <w:sz w:val="20"/>
                <w:szCs w:val="20"/>
              </w:rPr>
            </w:pPr>
            <w:r>
              <w:rPr>
                <w:rFonts w:ascii="Calibri" w:hAnsi="Calibri"/>
                <w:sz w:val="20"/>
                <w:szCs w:val="20"/>
              </w:rPr>
              <w:t>IALA Council approved</w:t>
            </w:r>
          </w:p>
        </w:tc>
      </w:tr>
      <w:tr w:rsidR="006904E2">
        <w:tc>
          <w:tcPr>
            <w:tcW w:w="1364" w:type="dxa"/>
            <w:tcBorders>
              <w:top w:val="nil"/>
            </w:tcBorders>
            <w:shd w:val="clear" w:color="auto" w:fill="auto"/>
            <w:tcMar>
              <w:left w:w="23" w:type="dxa"/>
            </w:tcMar>
          </w:tcPr>
          <w:p w:rsidR="006904E2" w:rsidRDefault="00010018">
            <w:pPr>
              <w:pStyle w:val="BodyText"/>
              <w:spacing w:after="0"/>
              <w:rPr>
                <w:rFonts w:asciiTheme="minorHAnsi" w:hAnsiTheme="minorHAnsi"/>
                <w:sz w:val="20"/>
                <w:szCs w:val="20"/>
              </w:rPr>
            </w:pPr>
            <w:r>
              <w:rPr>
                <w:rFonts w:asciiTheme="minorHAnsi" w:hAnsiTheme="minorHAnsi"/>
                <w:sz w:val="20"/>
                <w:szCs w:val="20"/>
              </w:rPr>
              <w:t xml:space="preserve">On-Site </w:t>
            </w:r>
            <w:r>
              <w:rPr>
                <w:rFonts w:asciiTheme="minorHAnsi" w:hAnsiTheme="minorHAnsi"/>
                <w:sz w:val="20"/>
                <w:szCs w:val="20"/>
                <w:u w:val="single"/>
              </w:rPr>
              <w:lastRenderedPageBreak/>
              <w:t>Inf</w:t>
            </w:r>
            <w:r>
              <w:rPr>
                <w:rFonts w:asciiTheme="minorHAnsi" w:hAnsiTheme="minorHAnsi"/>
                <w:sz w:val="20"/>
                <w:szCs w:val="20"/>
              </w:rPr>
              <w:t>rastructure (INF)</w:t>
            </w:r>
          </w:p>
        </w:tc>
        <w:tc>
          <w:tcPr>
            <w:tcW w:w="960" w:type="dxa"/>
            <w:tcBorders>
              <w:top w:val="nil"/>
            </w:tcBorders>
            <w:shd w:val="clear" w:color="auto" w:fill="auto"/>
            <w:tcMar>
              <w:left w:w="23" w:type="dxa"/>
            </w:tcMar>
            <w:vAlign w:val="center"/>
          </w:tcPr>
          <w:p w:rsidR="006904E2" w:rsidRDefault="006904E2">
            <w:pPr>
              <w:pStyle w:val="BodyText"/>
              <w:jc w:val="center"/>
              <w:rPr>
                <w:rFonts w:asciiTheme="minorHAnsi" w:hAnsiTheme="minorHAnsi"/>
                <w:sz w:val="20"/>
                <w:szCs w:val="20"/>
              </w:rPr>
            </w:pPr>
          </w:p>
        </w:tc>
        <w:tc>
          <w:tcPr>
            <w:tcW w:w="1921" w:type="dxa"/>
            <w:tcBorders>
              <w:top w:val="nil"/>
            </w:tcBorders>
            <w:shd w:val="clear" w:color="auto" w:fill="auto"/>
            <w:tcMar>
              <w:left w:w="23" w:type="dxa"/>
            </w:tcMar>
          </w:tcPr>
          <w:p w:rsidR="006904E2" w:rsidRDefault="00010018">
            <w:pPr>
              <w:pStyle w:val="BodyText"/>
              <w:jc w:val="center"/>
            </w:pPr>
            <w:r>
              <w:rPr>
                <w:rFonts w:asciiTheme="minorHAnsi" w:hAnsiTheme="minorHAnsi"/>
                <w:sz w:val="20"/>
                <w:szCs w:val="20"/>
              </w:rPr>
              <w:t xml:space="preserve">IALA Guideline 1114, </w:t>
            </w:r>
            <w:r>
              <w:rPr>
                <w:rFonts w:asciiTheme="minorHAnsi" w:hAnsiTheme="minorHAnsi"/>
                <w:sz w:val="20"/>
                <w:szCs w:val="20"/>
              </w:rPr>
              <w:lastRenderedPageBreak/>
              <w:t>chapter 3</w:t>
            </w:r>
          </w:p>
        </w:tc>
        <w:tc>
          <w:tcPr>
            <w:tcW w:w="975" w:type="dxa"/>
            <w:tcBorders>
              <w:top w:val="nil"/>
            </w:tcBorders>
            <w:shd w:val="clear" w:color="auto" w:fill="auto"/>
            <w:tcMar>
              <w:left w:w="23" w:type="dxa"/>
            </w:tcMar>
          </w:tcPr>
          <w:p w:rsidR="006904E2" w:rsidRDefault="006904E2">
            <w:pPr>
              <w:pStyle w:val="BodyText"/>
              <w:jc w:val="center"/>
              <w:rPr>
                <w:rFonts w:asciiTheme="minorHAnsi" w:hAnsiTheme="minorHAnsi"/>
                <w:sz w:val="20"/>
                <w:szCs w:val="20"/>
              </w:rPr>
            </w:pPr>
          </w:p>
        </w:tc>
        <w:tc>
          <w:tcPr>
            <w:tcW w:w="4365" w:type="dxa"/>
            <w:tcBorders>
              <w:top w:val="nil"/>
            </w:tcBorders>
            <w:shd w:val="clear" w:color="auto" w:fill="auto"/>
            <w:tcMar>
              <w:left w:w="23" w:type="dxa"/>
            </w:tcMar>
          </w:tcPr>
          <w:p w:rsidR="006904E2" w:rsidRDefault="00010018">
            <w:pPr>
              <w:pStyle w:val="BodyText"/>
              <w:spacing w:after="0"/>
            </w:pPr>
            <w:r>
              <w:rPr>
                <w:rFonts w:asciiTheme="minorHAnsi" w:hAnsiTheme="minorHAnsi"/>
                <w:sz w:val="20"/>
                <w:szCs w:val="20"/>
              </w:rPr>
              <w:t xml:space="preserve">In the context of the Common Shore-based System </w:t>
            </w:r>
            <w:r>
              <w:rPr>
                <w:rFonts w:asciiTheme="minorHAnsi" w:hAnsiTheme="minorHAnsi"/>
                <w:sz w:val="20"/>
                <w:szCs w:val="20"/>
              </w:rPr>
              <w:lastRenderedPageBreak/>
              <w:t xml:space="preserve">Architecture (CSSA), the On-Site </w:t>
            </w:r>
            <w:r>
              <w:rPr>
                <w:rFonts w:asciiTheme="minorHAnsi" w:hAnsiTheme="minorHAnsi"/>
                <w:sz w:val="20"/>
                <w:szCs w:val="20"/>
                <w:u w:val="single"/>
              </w:rPr>
              <w:t>Inf</w:t>
            </w:r>
            <w:r>
              <w:rPr>
                <w:rFonts w:asciiTheme="minorHAnsi" w:hAnsiTheme="minorHAnsi"/>
                <w:sz w:val="20"/>
                <w:szCs w:val="20"/>
              </w:rPr>
              <w:t>rastructure (INF) provides resource building blocks needed to support the service components on their sites of installation, hence On-Site Infrastructure. Main topics include housing and other structures, traditional utility provision such as power, water, sewer and roads, precise timing, LAN, independent fault detection and alert management, HMIs for Technical Operation Personnel and Technical Development Personnel.</w:t>
            </w:r>
          </w:p>
        </w:tc>
        <w:tc>
          <w:tcPr>
            <w:tcW w:w="1081" w:type="dxa"/>
            <w:tcBorders>
              <w:top w:val="nil"/>
            </w:tcBorders>
            <w:shd w:val="clear" w:color="auto" w:fill="auto"/>
            <w:tcMar>
              <w:left w:w="23" w:type="dxa"/>
            </w:tcMar>
          </w:tcPr>
          <w:p w:rsidR="006904E2" w:rsidRDefault="006904E2">
            <w:pPr>
              <w:pStyle w:val="BodyText"/>
              <w:jc w:val="left"/>
              <w:rPr>
                <w:rFonts w:asciiTheme="minorHAnsi" w:hAnsiTheme="minorHAnsi"/>
                <w:sz w:val="20"/>
                <w:szCs w:val="20"/>
              </w:rPr>
            </w:pPr>
          </w:p>
        </w:tc>
        <w:tc>
          <w:tcPr>
            <w:tcW w:w="1125" w:type="dxa"/>
            <w:tcBorders>
              <w:top w:val="nil"/>
            </w:tcBorders>
            <w:shd w:val="clear" w:color="auto" w:fill="auto"/>
            <w:tcMar>
              <w:left w:w="23" w:type="dxa"/>
            </w:tcMar>
            <w:vAlign w:val="center"/>
          </w:tcPr>
          <w:p w:rsidR="006904E2" w:rsidRDefault="006904E2">
            <w:pPr>
              <w:pStyle w:val="BodyText"/>
              <w:jc w:val="left"/>
              <w:rPr>
                <w:rFonts w:asciiTheme="minorHAnsi" w:hAnsiTheme="minorHAnsi"/>
                <w:sz w:val="20"/>
                <w:szCs w:val="20"/>
              </w:rPr>
            </w:pPr>
          </w:p>
        </w:tc>
        <w:tc>
          <w:tcPr>
            <w:tcW w:w="997" w:type="dxa"/>
            <w:tcBorders>
              <w:top w:val="nil"/>
            </w:tcBorders>
            <w:shd w:val="clear" w:color="auto" w:fill="auto"/>
            <w:tcMar>
              <w:left w:w="23" w:type="dxa"/>
            </w:tcMar>
          </w:tcPr>
          <w:p w:rsidR="006904E2" w:rsidRDefault="00010018">
            <w:pPr>
              <w:pStyle w:val="BodyText"/>
              <w:jc w:val="left"/>
              <w:rPr>
                <w:rFonts w:asciiTheme="minorHAnsi" w:hAnsiTheme="minorHAnsi"/>
                <w:sz w:val="20"/>
                <w:szCs w:val="20"/>
              </w:rPr>
            </w:pPr>
            <w:r>
              <w:rPr>
                <w:rFonts w:ascii="Calibri" w:hAnsi="Calibri"/>
                <w:sz w:val="20"/>
                <w:szCs w:val="20"/>
              </w:rPr>
              <w:t xml:space="preserve">New term </w:t>
            </w:r>
          </w:p>
        </w:tc>
        <w:tc>
          <w:tcPr>
            <w:tcW w:w="1072" w:type="dxa"/>
            <w:tcBorders>
              <w:top w:val="nil"/>
            </w:tcBorders>
            <w:shd w:val="clear" w:color="auto" w:fill="auto"/>
            <w:tcMar>
              <w:left w:w="23" w:type="dxa"/>
            </w:tcMar>
          </w:tcPr>
          <w:p w:rsidR="006904E2" w:rsidRDefault="00010018">
            <w:pPr>
              <w:pStyle w:val="BodyText"/>
              <w:jc w:val="left"/>
              <w:rPr>
                <w:rFonts w:asciiTheme="minorHAnsi" w:hAnsiTheme="minorHAnsi"/>
                <w:sz w:val="20"/>
                <w:szCs w:val="20"/>
              </w:rPr>
            </w:pPr>
            <w:r>
              <w:rPr>
                <w:rFonts w:ascii="Calibri" w:hAnsi="Calibri"/>
                <w:sz w:val="20"/>
                <w:szCs w:val="20"/>
              </w:rPr>
              <w:t>May 2015</w:t>
            </w:r>
          </w:p>
        </w:tc>
        <w:tc>
          <w:tcPr>
            <w:tcW w:w="924" w:type="dxa"/>
            <w:tcBorders>
              <w:top w:val="nil"/>
            </w:tcBorders>
            <w:shd w:val="clear" w:color="auto" w:fill="auto"/>
            <w:tcMar>
              <w:left w:w="23" w:type="dxa"/>
            </w:tcMar>
          </w:tcPr>
          <w:p w:rsidR="006904E2" w:rsidRDefault="00010018">
            <w:pPr>
              <w:pStyle w:val="BodyText"/>
              <w:rPr>
                <w:rFonts w:asciiTheme="minorHAnsi" w:hAnsiTheme="minorHAnsi"/>
                <w:sz w:val="20"/>
                <w:szCs w:val="20"/>
              </w:rPr>
            </w:pPr>
            <w:r>
              <w:rPr>
                <w:rFonts w:ascii="Calibri" w:hAnsi="Calibri"/>
                <w:sz w:val="20"/>
                <w:szCs w:val="20"/>
              </w:rPr>
              <w:t xml:space="preserve">IALA </w:t>
            </w:r>
            <w:r>
              <w:rPr>
                <w:rFonts w:ascii="Calibri" w:hAnsi="Calibri"/>
                <w:sz w:val="20"/>
                <w:szCs w:val="20"/>
              </w:rPr>
              <w:lastRenderedPageBreak/>
              <w:t>Council approved</w:t>
            </w:r>
          </w:p>
        </w:tc>
      </w:tr>
      <w:tr w:rsidR="006904E2">
        <w:tc>
          <w:tcPr>
            <w:tcW w:w="1364" w:type="dxa"/>
            <w:tcBorders>
              <w:top w:val="nil"/>
            </w:tcBorders>
            <w:shd w:val="clear" w:color="auto" w:fill="auto"/>
            <w:tcMar>
              <w:left w:w="23" w:type="dxa"/>
            </w:tcMar>
          </w:tcPr>
          <w:p w:rsidR="006904E2" w:rsidRDefault="00010018">
            <w:pPr>
              <w:pStyle w:val="BodyText"/>
              <w:rPr>
                <w:rFonts w:asciiTheme="minorHAnsi" w:hAnsiTheme="minorHAnsi"/>
                <w:sz w:val="20"/>
                <w:szCs w:val="20"/>
              </w:rPr>
            </w:pPr>
            <w:r>
              <w:rPr>
                <w:rFonts w:asciiTheme="minorHAnsi" w:hAnsiTheme="minorHAnsi"/>
                <w:sz w:val="20"/>
                <w:szCs w:val="20"/>
              </w:rPr>
              <w:lastRenderedPageBreak/>
              <w:t>Operational Presentation Surface</w:t>
            </w:r>
          </w:p>
        </w:tc>
        <w:tc>
          <w:tcPr>
            <w:tcW w:w="960" w:type="dxa"/>
            <w:tcBorders>
              <w:top w:val="nil"/>
            </w:tcBorders>
            <w:shd w:val="clear" w:color="auto" w:fill="auto"/>
            <w:tcMar>
              <w:left w:w="23" w:type="dxa"/>
            </w:tcMar>
            <w:vAlign w:val="center"/>
          </w:tcPr>
          <w:p w:rsidR="006904E2" w:rsidRDefault="006904E2">
            <w:pPr>
              <w:pStyle w:val="BodyText"/>
              <w:jc w:val="center"/>
              <w:rPr>
                <w:rFonts w:asciiTheme="minorHAnsi" w:hAnsiTheme="minorHAnsi"/>
                <w:sz w:val="20"/>
                <w:szCs w:val="20"/>
              </w:rPr>
            </w:pPr>
          </w:p>
        </w:tc>
        <w:tc>
          <w:tcPr>
            <w:tcW w:w="1921" w:type="dxa"/>
            <w:tcBorders>
              <w:top w:val="nil"/>
            </w:tcBorders>
            <w:shd w:val="clear" w:color="auto" w:fill="auto"/>
            <w:tcMar>
              <w:left w:w="23" w:type="dxa"/>
            </w:tcMar>
          </w:tcPr>
          <w:p w:rsidR="006904E2" w:rsidRDefault="00010018">
            <w:pPr>
              <w:pStyle w:val="BodyText"/>
              <w:jc w:val="center"/>
            </w:pPr>
            <w:r>
              <w:rPr>
                <w:rFonts w:asciiTheme="minorHAnsi" w:hAnsiTheme="minorHAnsi"/>
                <w:sz w:val="20"/>
                <w:szCs w:val="20"/>
              </w:rPr>
              <w:t>IALA Guideline 1114, chapter 3</w:t>
            </w:r>
          </w:p>
        </w:tc>
        <w:tc>
          <w:tcPr>
            <w:tcW w:w="975" w:type="dxa"/>
            <w:tcBorders>
              <w:top w:val="nil"/>
            </w:tcBorders>
            <w:shd w:val="clear" w:color="auto" w:fill="auto"/>
            <w:tcMar>
              <w:left w:w="23" w:type="dxa"/>
            </w:tcMar>
          </w:tcPr>
          <w:p w:rsidR="006904E2" w:rsidRDefault="006904E2">
            <w:pPr>
              <w:pStyle w:val="BodyText"/>
              <w:jc w:val="center"/>
              <w:rPr>
                <w:rFonts w:asciiTheme="minorHAnsi" w:hAnsiTheme="minorHAnsi"/>
                <w:sz w:val="20"/>
                <w:szCs w:val="20"/>
              </w:rPr>
            </w:pPr>
          </w:p>
        </w:tc>
        <w:tc>
          <w:tcPr>
            <w:tcW w:w="4365" w:type="dxa"/>
            <w:tcBorders>
              <w:top w:val="nil"/>
            </w:tcBorders>
            <w:shd w:val="clear" w:color="auto" w:fill="auto"/>
            <w:tcMar>
              <w:left w:w="23" w:type="dxa"/>
            </w:tcMar>
          </w:tcPr>
          <w:p w:rsidR="006904E2" w:rsidRDefault="00010018">
            <w:pPr>
              <w:pStyle w:val="BodyText"/>
              <w:spacing w:after="0"/>
            </w:pPr>
            <w:r>
              <w:rPr>
                <w:rFonts w:asciiTheme="minorHAnsi" w:hAnsiTheme="minorHAnsi"/>
                <w:sz w:val="20"/>
                <w:szCs w:val="20"/>
              </w:rPr>
              <w:t>In the context of the Common Shore-based System Architecture (CSSA)</w:t>
            </w:r>
            <w:proofErr w:type="gramStart"/>
            <w:r>
              <w:rPr>
                <w:rFonts w:asciiTheme="minorHAnsi" w:hAnsiTheme="minorHAnsi"/>
                <w:sz w:val="20"/>
                <w:szCs w:val="20"/>
              </w:rPr>
              <w:t>,  the</w:t>
            </w:r>
            <w:proofErr w:type="gramEnd"/>
            <w:r>
              <w:rPr>
                <w:rFonts w:asciiTheme="minorHAnsi" w:hAnsiTheme="minorHAnsi"/>
                <w:sz w:val="20"/>
                <w:szCs w:val="20"/>
              </w:rPr>
              <w:t xml:space="preserve"> Operational Presentation Surface (OPS) is the functional interface of the User Interaction Service as a HMI to its users. It is generally subdivided into individual functional windows, each with their own specified user interaction.</w:t>
            </w:r>
          </w:p>
        </w:tc>
        <w:tc>
          <w:tcPr>
            <w:tcW w:w="1081" w:type="dxa"/>
            <w:tcBorders>
              <w:top w:val="nil"/>
            </w:tcBorders>
            <w:shd w:val="clear" w:color="auto" w:fill="auto"/>
            <w:tcMar>
              <w:left w:w="23" w:type="dxa"/>
            </w:tcMar>
          </w:tcPr>
          <w:p w:rsidR="006904E2" w:rsidRDefault="006904E2">
            <w:pPr>
              <w:pStyle w:val="BodyText"/>
              <w:jc w:val="left"/>
              <w:rPr>
                <w:rFonts w:asciiTheme="minorHAnsi" w:hAnsiTheme="minorHAnsi"/>
                <w:sz w:val="20"/>
                <w:szCs w:val="20"/>
              </w:rPr>
            </w:pPr>
          </w:p>
        </w:tc>
        <w:tc>
          <w:tcPr>
            <w:tcW w:w="1125" w:type="dxa"/>
            <w:tcBorders>
              <w:top w:val="nil"/>
            </w:tcBorders>
            <w:shd w:val="clear" w:color="auto" w:fill="auto"/>
            <w:tcMar>
              <w:left w:w="23" w:type="dxa"/>
            </w:tcMar>
            <w:vAlign w:val="center"/>
          </w:tcPr>
          <w:p w:rsidR="006904E2" w:rsidRDefault="006904E2">
            <w:pPr>
              <w:pStyle w:val="BodyText"/>
              <w:jc w:val="left"/>
              <w:rPr>
                <w:rFonts w:asciiTheme="minorHAnsi" w:hAnsiTheme="minorHAnsi"/>
                <w:sz w:val="20"/>
                <w:szCs w:val="20"/>
              </w:rPr>
            </w:pPr>
          </w:p>
        </w:tc>
        <w:tc>
          <w:tcPr>
            <w:tcW w:w="997" w:type="dxa"/>
            <w:tcBorders>
              <w:top w:val="nil"/>
            </w:tcBorders>
            <w:shd w:val="clear" w:color="auto" w:fill="auto"/>
            <w:tcMar>
              <w:left w:w="23" w:type="dxa"/>
            </w:tcMar>
          </w:tcPr>
          <w:p w:rsidR="006904E2" w:rsidRDefault="00010018">
            <w:pPr>
              <w:pStyle w:val="BodyText"/>
              <w:jc w:val="left"/>
              <w:rPr>
                <w:rFonts w:asciiTheme="minorHAnsi" w:hAnsiTheme="minorHAnsi"/>
                <w:sz w:val="20"/>
                <w:szCs w:val="20"/>
              </w:rPr>
            </w:pPr>
            <w:r>
              <w:rPr>
                <w:rFonts w:ascii="Calibri" w:hAnsi="Calibri"/>
                <w:sz w:val="20"/>
                <w:szCs w:val="20"/>
              </w:rPr>
              <w:t xml:space="preserve">New term </w:t>
            </w:r>
          </w:p>
        </w:tc>
        <w:tc>
          <w:tcPr>
            <w:tcW w:w="1072" w:type="dxa"/>
            <w:tcBorders>
              <w:top w:val="nil"/>
            </w:tcBorders>
            <w:shd w:val="clear" w:color="auto" w:fill="auto"/>
            <w:tcMar>
              <w:left w:w="23" w:type="dxa"/>
            </w:tcMar>
          </w:tcPr>
          <w:p w:rsidR="006904E2" w:rsidRDefault="00010018">
            <w:pPr>
              <w:pStyle w:val="BodyText"/>
              <w:jc w:val="left"/>
              <w:rPr>
                <w:rFonts w:asciiTheme="minorHAnsi" w:hAnsiTheme="minorHAnsi"/>
                <w:sz w:val="20"/>
                <w:szCs w:val="20"/>
              </w:rPr>
            </w:pPr>
            <w:r>
              <w:rPr>
                <w:rFonts w:ascii="Calibri" w:hAnsi="Calibri"/>
                <w:sz w:val="20"/>
                <w:szCs w:val="20"/>
              </w:rPr>
              <w:t>May 2015</w:t>
            </w:r>
          </w:p>
        </w:tc>
        <w:tc>
          <w:tcPr>
            <w:tcW w:w="924" w:type="dxa"/>
            <w:tcBorders>
              <w:top w:val="nil"/>
            </w:tcBorders>
            <w:shd w:val="clear" w:color="auto" w:fill="auto"/>
            <w:tcMar>
              <w:left w:w="23" w:type="dxa"/>
            </w:tcMar>
          </w:tcPr>
          <w:p w:rsidR="006904E2" w:rsidRDefault="00010018">
            <w:pPr>
              <w:pStyle w:val="BodyText"/>
              <w:rPr>
                <w:rFonts w:asciiTheme="minorHAnsi" w:hAnsiTheme="minorHAnsi"/>
                <w:sz w:val="20"/>
                <w:szCs w:val="20"/>
              </w:rPr>
            </w:pPr>
            <w:r>
              <w:rPr>
                <w:rFonts w:ascii="Calibri" w:hAnsi="Calibri"/>
                <w:sz w:val="20"/>
                <w:szCs w:val="20"/>
              </w:rPr>
              <w:t>IALA Council approved</w:t>
            </w:r>
          </w:p>
        </w:tc>
      </w:tr>
      <w:tr w:rsidR="006904E2">
        <w:tc>
          <w:tcPr>
            <w:tcW w:w="1364" w:type="dxa"/>
            <w:tcBorders>
              <w:top w:val="nil"/>
            </w:tcBorders>
            <w:shd w:val="clear" w:color="auto" w:fill="auto"/>
            <w:tcMar>
              <w:left w:w="23" w:type="dxa"/>
            </w:tcMar>
          </w:tcPr>
          <w:p w:rsidR="006904E2" w:rsidRDefault="00010018">
            <w:pPr>
              <w:pStyle w:val="BodyText"/>
              <w:rPr>
                <w:rFonts w:asciiTheme="minorHAnsi" w:hAnsiTheme="minorHAnsi"/>
                <w:sz w:val="20"/>
                <w:szCs w:val="20"/>
              </w:rPr>
            </w:pPr>
            <w:r>
              <w:rPr>
                <w:rFonts w:asciiTheme="minorHAnsi" w:hAnsiTheme="minorHAnsi"/>
                <w:sz w:val="20"/>
                <w:szCs w:val="20"/>
              </w:rPr>
              <w:t>Basic Service</w:t>
            </w:r>
          </w:p>
        </w:tc>
        <w:tc>
          <w:tcPr>
            <w:tcW w:w="960" w:type="dxa"/>
            <w:tcBorders>
              <w:top w:val="nil"/>
            </w:tcBorders>
            <w:shd w:val="clear" w:color="auto" w:fill="auto"/>
            <w:tcMar>
              <w:left w:w="23" w:type="dxa"/>
            </w:tcMar>
            <w:vAlign w:val="center"/>
          </w:tcPr>
          <w:p w:rsidR="006904E2" w:rsidRDefault="006904E2">
            <w:pPr>
              <w:pStyle w:val="BodyText"/>
              <w:jc w:val="center"/>
              <w:rPr>
                <w:rFonts w:asciiTheme="minorHAnsi" w:hAnsiTheme="minorHAnsi"/>
                <w:sz w:val="20"/>
                <w:szCs w:val="20"/>
              </w:rPr>
            </w:pPr>
          </w:p>
        </w:tc>
        <w:tc>
          <w:tcPr>
            <w:tcW w:w="1921" w:type="dxa"/>
            <w:tcBorders>
              <w:top w:val="nil"/>
            </w:tcBorders>
            <w:shd w:val="clear" w:color="auto" w:fill="auto"/>
            <w:tcMar>
              <w:left w:w="23" w:type="dxa"/>
            </w:tcMar>
          </w:tcPr>
          <w:p w:rsidR="006904E2" w:rsidRDefault="00010018">
            <w:pPr>
              <w:pStyle w:val="BodyText"/>
              <w:jc w:val="center"/>
            </w:pPr>
            <w:r>
              <w:rPr>
                <w:rFonts w:asciiTheme="minorHAnsi" w:hAnsiTheme="minorHAnsi"/>
                <w:sz w:val="20"/>
                <w:szCs w:val="20"/>
              </w:rPr>
              <w:t>IALA Guideline 1114, chapter 3</w:t>
            </w:r>
          </w:p>
        </w:tc>
        <w:tc>
          <w:tcPr>
            <w:tcW w:w="975" w:type="dxa"/>
            <w:tcBorders>
              <w:top w:val="nil"/>
            </w:tcBorders>
            <w:shd w:val="clear" w:color="auto" w:fill="auto"/>
            <w:tcMar>
              <w:left w:w="23" w:type="dxa"/>
            </w:tcMar>
          </w:tcPr>
          <w:p w:rsidR="006904E2" w:rsidRDefault="006904E2">
            <w:pPr>
              <w:pStyle w:val="BodyText"/>
              <w:jc w:val="center"/>
              <w:rPr>
                <w:rFonts w:asciiTheme="minorHAnsi" w:hAnsiTheme="minorHAnsi"/>
                <w:sz w:val="20"/>
                <w:szCs w:val="20"/>
              </w:rPr>
            </w:pPr>
          </w:p>
        </w:tc>
        <w:tc>
          <w:tcPr>
            <w:tcW w:w="4365" w:type="dxa"/>
            <w:tcBorders>
              <w:top w:val="nil"/>
            </w:tcBorders>
            <w:shd w:val="clear" w:color="auto" w:fill="auto"/>
            <w:tcMar>
              <w:left w:w="23" w:type="dxa"/>
            </w:tcMar>
          </w:tcPr>
          <w:p w:rsidR="006904E2" w:rsidRDefault="00010018">
            <w:pPr>
              <w:pStyle w:val="BodyText"/>
              <w:spacing w:after="0"/>
            </w:pPr>
            <w:r>
              <w:rPr>
                <w:rFonts w:asciiTheme="minorHAnsi" w:hAnsiTheme="minorHAnsi"/>
                <w:sz w:val="20"/>
                <w:szCs w:val="20"/>
              </w:rPr>
              <w:t xml:space="preserve">In the context of the Common Shore-based System Architecture (CSSA), each of the technical services except for the User Interaction Service provides a </w:t>
            </w:r>
          </w:p>
          <w:p w:rsidR="006904E2" w:rsidRDefault="00010018">
            <w:pPr>
              <w:pStyle w:val="BodyText"/>
              <w:spacing w:after="0"/>
            </w:pPr>
            <w:proofErr w:type="gramStart"/>
            <w:r>
              <w:rPr>
                <w:rFonts w:asciiTheme="minorHAnsi" w:hAnsiTheme="minorHAnsi"/>
                <w:sz w:val="20"/>
                <w:szCs w:val="20"/>
              </w:rPr>
              <w:t>functional</w:t>
            </w:r>
            <w:proofErr w:type="gramEnd"/>
            <w:r>
              <w:rPr>
                <w:rFonts w:asciiTheme="minorHAnsi" w:hAnsiTheme="minorHAnsi"/>
                <w:sz w:val="20"/>
                <w:szCs w:val="20"/>
              </w:rPr>
              <w:t xml:space="preserve"> (M2M) interface to any other of the technical services of their own Common Shore-based System (CSS), i.e. on their ‘domestic’ side. This interface provides the respective functions of a technical service as a set of Basic Services specific to that technical service.</w:t>
            </w:r>
          </w:p>
        </w:tc>
        <w:tc>
          <w:tcPr>
            <w:tcW w:w="1081" w:type="dxa"/>
            <w:tcBorders>
              <w:top w:val="nil"/>
            </w:tcBorders>
            <w:shd w:val="clear" w:color="auto" w:fill="auto"/>
            <w:tcMar>
              <w:left w:w="23" w:type="dxa"/>
            </w:tcMar>
          </w:tcPr>
          <w:p w:rsidR="006904E2" w:rsidRDefault="006904E2">
            <w:pPr>
              <w:pStyle w:val="BodyText"/>
              <w:jc w:val="left"/>
              <w:rPr>
                <w:rFonts w:asciiTheme="minorHAnsi" w:hAnsiTheme="minorHAnsi"/>
                <w:sz w:val="20"/>
                <w:szCs w:val="20"/>
              </w:rPr>
            </w:pPr>
          </w:p>
        </w:tc>
        <w:tc>
          <w:tcPr>
            <w:tcW w:w="1125" w:type="dxa"/>
            <w:tcBorders>
              <w:top w:val="nil"/>
            </w:tcBorders>
            <w:shd w:val="clear" w:color="auto" w:fill="auto"/>
            <w:tcMar>
              <w:left w:w="23" w:type="dxa"/>
            </w:tcMar>
            <w:vAlign w:val="center"/>
          </w:tcPr>
          <w:p w:rsidR="006904E2" w:rsidRDefault="006904E2">
            <w:pPr>
              <w:pStyle w:val="BodyText"/>
              <w:jc w:val="left"/>
              <w:rPr>
                <w:rFonts w:asciiTheme="minorHAnsi" w:hAnsiTheme="minorHAnsi"/>
                <w:sz w:val="20"/>
                <w:szCs w:val="20"/>
              </w:rPr>
            </w:pPr>
          </w:p>
        </w:tc>
        <w:tc>
          <w:tcPr>
            <w:tcW w:w="997" w:type="dxa"/>
            <w:tcBorders>
              <w:top w:val="nil"/>
            </w:tcBorders>
            <w:shd w:val="clear" w:color="auto" w:fill="auto"/>
            <w:tcMar>
              <w:left w:w="23" w:type="dxa"/>
            </w:tcMar>
          </w:tcPr>
          <w:p w:rsidR="006904E2" w:rsidRDefault="00010018">
            <w:pPr>
              <w:pStyle w:val="BodyText"/>
              <w:jc w:val="left"/>
              <w:rPr>
                <w:rFonts w:asciiTheme="minorHAnsi" w:hAnsiTheme="minorHAnsi"/>
                <w:sz w:val="20"/>
                <w:szCs w:val="20"/>
              </w:rPr>
            </w:pPr>
            <w:r>
              <w:rPr>
                <w:rFonts w:ascii="Calibri" w:hAnsi="Calibri"/>
                <w:sz w:val="20"/>
                <w:szCs w:val="20"/>
              </w:rPr>
              <w:t xml:space="preserve">New term </w:t>
            </w:r>
          </w:p>
        </w:tc>
        <w:tc>
          <w:tcPr>
            <w:tcW w:w="1072" w:type="dxa"/>
            <w:tcBorders>
              <w:top w:val="nil"/>
            </w:tcBorders>
            <w:shd w:val="clear" w:color="auto" w:fill="auto"/>
            <w:tcMar>
              <w:left w:w="23" w:type="dxa"/>
            </w:tcMar>
          </w:tcPr>
          <w:p w:rsidR="006904E2" w:rsidRDefault="00010018">
            <w:pPr>
              <w:pStyle w:val="BodyText"/>
              <w:jc w:val="left"/>
              <w:rPr>
                <w:rFonts w:asciiTheme="minorHAnsi" w:hAnsiTheme="minorHAnsi"/>
                <w:sz w:val="20"/>
                <w:szCs w:val="20"/>
              </w:rPr>
            </w:pPr>
            <w:r>
              <w:rPr>
                <w:rFonts w:ascii="Calibri" w:hAnsi="Calibri"/>
                <w:sz w:val="20"/>
                <w:szCs w:val="20"/>
              </w:rPr>
              <w:t>May 2015</w:t>
            </w:r>
          </w:p>
        </w:tc>
        <w:tc>
          <w:tcPr>
            <w:tcW w:w="924" w:type="dxa"/>
            <w:tcBorders>
              <w:top w:val="nil"/>
            </w:tcBorders>
            <w:shd w:val="clear" w:color="auto" w:fill="auto"/>
            <w:tcMar>
              <w:left w:w="23" w:type="dxa"/>
            </w:tcMar>
          </w:tcPr>
          <w:p w:rsidR="006904E2" w:rsidRDefault="00010018">
            <w:pPr>
              <w:pStyle w:val="BodyText"/>
              <w:rPr>
                <w:rFonts w:asciiTheme="minorHAnsi" w:hAnsiTheme="minorHAnsi"/>
                <w:sz w:val="20"/>
                <w:szCs w:val="20"/>
              </w:rPr>
            </w:pPr>
            <w:r>
              <w:rPr>
                <w:rFonts w:ascii="Calibri" w:hAnsi="Calibri"/>
                <w:sz w:val="20"/>
                <w:szCs w:val="20"/>
              </w:rPr>
              <w:t>IALA Council approved</w:t>
            </w:r>
          </w:p>
        </w:tc>
      </w:tr>
      <w:tr w:rsidR="006904E2">
        <w:tc>
          <w:tcPr>
            <w:tcW w:w="1364" w:type="dxa"/>
            <w:tcBorders>
              <w:top w:val="nil"/>
            </w:tcBorders>
            <w:shd w:val="clear" w:color="auto" w:fill="auto"/>
            <w:tcMar>
              <w:left w:w="23" w:type="dxa"/>
            </w:tcMar>
          </w:tcPr>
          <w:p w:rsidR="006904E2" w:rsidRDefault="00010018">
            <w:pPr>
              <w:pStyle w:val="BodyText"/>
              <w:rPr>
                <w:rFonts w:asciiTheme="minorHAnsi" w:hAnsiTheme="minorHAnsi"/>
                <w:sz w:val="20"/>
                <w:szCs w:val="20"/>
              </w:rPr>
            </w:pPr>
            <w:r>
              <w:rPr>
                <w:rFonts w:asciiTheme="minorHAnsi" w:hAnsiTheme="minorHAnsi"/>
                <w:sz w:val="20"/>
                <w:szCs w:val="20"/>
              </w:rPr>
              <w:t>Configuration Type</w:t>
            </w:r>
          </w:p>
        </w:tc>
        <w:tc>
          <w:tcPr>
            <w:tcW w:w="960" w:type="dxa"/>
            <w:tcBorders>
              <w:top w:val="nil"/>
            </w:tcBorders>
            <w:shd w:val="clear" w:color="auto" w:fill="auto"/>
            <w:tcMar>
              <w:left w:w="23" w:type="dxa"/>
            </w:tcMar>
            <w:vAlign w:val="center"/>
          </w:tcPr>
          <w:p w:rsidR="006904E2" w:rsidRDefault="006904E2">
            <w:pPr>
              <w:pStyle w:val="BodyText"/>
              <w:jc w:val="center"/>
              <w:rPr>
                <w:rFonts w:asciiTheme="minorHAnsi" w:hAnsiTheme="minorHAnsi"/>
                <w:sz w:val="20"/>
                <w:szCs w:val="20"/>
              </w:rPr>
            </w:pPr>
          </w:p>
        </w:tc>
        <w:tc>
          <w:tcPr>
            <w:tcW w:w="1921" w:type="dxa"/>
            <w:tcBorders>
              <w:top w:val="nil"/>
            </w:tcBorders>
            <w:shd w:val="clear" w:color="auto" w:fill="auto"/>
            <w:tcMar>
              <w:left w:w="23" w:type="dxa"/>
            </w:tcMar>
          </w:tcPr>
          <w:p w:rsidR="006904E2" w:rsidRDefault="00010018">
            <w:pPr>
              <w:pStyle w:val="BodyText"/>
              <w:jc w:val="center"/>
            </w:pPr>
            <w:r>
              <w:rPr>
                <w:rFonts w:asciiTheme="minorHAnsi" w:hAnsiTheme="minorHAnsi"/>
                <w:sz w:val="20"/>
                <w:szCs w:val="20"/>
              </w:rPr>
              <w:t>IALA Guideline 1114, chapter 3</w:t>
            </w:r>
          </w:p>
        </w:tc>
        <w:tc>
          <w:tcPr>
            <w:tcW w:w="975" w:type="dxa"/>
            <w:tcBorders>
              <w:top w:val="nil"/>
            </w:tcBorders>
            <w:shd w:val="clear" w:color="auto" w:fill="auto"/>
            <w:tcMar>
              <w:left w:w="23" w:type="dxa"/>
            </w:tcMar>
          </w:tcPr>
          <w:p w:rsidR="006904E2" w:rsidRDefault="006904E2">
            <w:pPr>
              <w:pStyle w:val="BodyText"/>
              <w:jc w:val="center"/>
              <w:rPr>
                <w:rFonts w:asciiTheme="minorHAnsi" w:hAnsiTheme="minorHAnsi"/>
                <w:sz w:val="20"/>
                <w:szCs w:val="20"/>
              </w:rPr>
            </w:pPr>
          </w:p>
        </w:tc>
        <w:tc>
          <w:tcPr>
            <w:tcW w:w="4365" w:type="dxa"/>
            <w:tcBorders>
              <w:top w:val="nil"/>
            </w:tcBorders>
            <w:shd w:val="clear" w:color="auto" w:fill="auto"/>
            <w:tcMar>
              <w:left w:w="23" w:type="dxa"/>
            </w:tcMar>
          </w:tcPr>
          <w:p w:rsidR="006904E2" w:rsidRDefault="00010018">
            <w:pPr>
              <w:pStyle w:val="BodyText"/>
              <w:spacing w:after="0"/>
            </w:pPr>
            <w:r>
              <w:rPr>
                <w:rFonts w:asciiTheme="minorHAnsi" w:hAnsiTheme="minorHAnsi"/>
                <w:sz w:val="20"/>
                <w:szCs w:val="20"/>
              </w:rPr>
              <w:t xml:space="preserve">In the context of the Common Shore-based System Architecture (CSSA), the concept of Configuration Type encapsulates the ability to customise presentation to different shore-based users of the Common Shore-based System (CSS). For instance, ‘traffic image display’ will be required by several operational users, although the configuration settings for each of the operational users may be different (e.g. tactical traffic display vs. strategic traffic display). </w:t>
            </w:r>
          </w:p>
        </w:tc>
        <w:tc>
          <w:tcPr>
            <w:tcW w:w="1081" w:type="dxa"/>
            <w:tcBorders>
              <w:top w:val="nil"/>
            </w:tcBorders>
            <w:shd w:val="clear" w:color="auto" w:fill="auto"/>
            <w:tcMar>
              <w:left w:w="23" w:type="dxa"/>
            </w:tcMar>
          </w:tcPr>
          <w:p w:rsidR="006904E2" w:rsidRDefault="006904E2">
            <w:pPr>
              <w:pStyle w:val="BodyText"/>
              <w:jc w:val="left"/>
              <w:rPr>
                <w:rFonts w:asciiTheme="minorHAnsi" w:hAnsiTheme="minorHAnsi"/>
                <w:sz w:val="20"/>
                <w:szCs w:val="20"/>
              </w:rPr>
            </w:pPr>
          </w:p>
        </w:tc>
        <w:tc>
          <w:tcPr>
            <w:tcW w:w="1125" w:type="dxa"/>
            <w:tcBorders>
              <w:top w:val="nil"/>
            </w:tcBorders>
            <w:shd w:val="clear" w:color="auto" w:fill="auto"/>
            <w:tcMar>
              <w:left w:w="23" w:type="dxa"/>
            </w:tcMar>
            <w:vAlign w:val="center"/>
          </w:tcPr>
          <w:p w:rsidR="006904E2" w:rsidRDefault="006904E2">
            <w:pPr>
              <w:pStyle w:val="BodyText"/>
              <w:jc w:val="left"/>
              <w:rPr>
                <w:rFonts w:asciiTheme="minorHAnsi" w:hAnsiTheme="minorHAnsi"/>
                <w:sz w:val="20"/>
                <w:szCs w:val="20"/>
              </w:rPr>
            </w:pPr>
          </w:p>
        </w:tc>
        <w:tc>
          <w:tcPr>
            <w:tcW w:w="997" w:type="dxa"/>
            <w:tcBorders>
              <w:top w:val="nil"/>
            </w:tcBorders>
            <w:shd w:val="clear" w:color="auto" w:fill="auto"/>
            <w:tcMar>
              <w:left w:w="23" w:type="dxa"/>
            </w:tcMar>
          </w:tcPr>
          <w:p w:rsidR="006904E2" w:rsidRDefault="00010018">
            <w:pPr>
              <w:pStyle w:val="BodyText"/>
              <w:jc w:val="left"/>
              <w:rPr>
                <w:rFonts w:asciiTheme="minorHAnsi" w:hAnsiTheme="minorHAnsi"/>
                <w:sz w:val="20"/>
                <w:szCs w:val="20"/>
              </w:rPr>
            </w:pPr>
            <w:r>
              <w:rPr>
                <w:rFonts w:ascii="Calibri" w:hAnsi="Calibri"/>
                <w:sz w:val="20"/>
                <w:szCs w:val="20"/>
              </w:rPr>
              <w:t xml:space="preserve">New term </w:t>
            </w:r>
          </w:p>
        </w:tc>
        <w:tc>
          <w:tcPr>
            <w:tcW w:w="1072" w:type="dxa"/>
            <w:tcBorders>
              <w:top w:val="nil"/>
            </w:tcBorders>
            <w:shd w:val="clear" w:color="auto" w:fill="auto"/>
            <w:tcMar>
              <w:left w:w="23" w:type="dxa"/>
            </w:tcMar>
          </w:tcPr>
          <w:p w:rsidR="006904E2" w:rsidRDefault="00010018">
            <w:pPr>
              <w:pStyle w:val="BodyText"/>
              <w:jc w:val="left"/>
              <w:rPr>
                <w:rFonts w:asciiTheme="minorHAnsi" w:hAnsiTheme="minorHAnsi"/>
                <w:sz w:val="20"/>
                <w:szCs w:val="20"/>
              </w:rPr>
            </w:pPr>
            <w:r>
              <w:rPr>
                <w:rFonts w:ascii="Calibri" w:hAnsi="Calibri"/>
                <w:sz w:val="20"/>
                <w:szCs w:val="20"/>
              </w:rPr>
              <w:t>May 2015</w:t>
            </w:r>
          </w:p>
        </w:tc>
        <w:tc>
          <w:tcPr>
            <w:tcW w:w="924" w:type="dxa"/>
            <w:tcBorders>
              <w:top w:val="nil"/>
            </w:tcBorders>
            <w:shd w:val="clear" w:color="auto" w:fill="auto"/>
            <w:tcMar>
              <w:left w:w="23" w:type="dxa"/>
            </w:tcMar>
          </w:tcPr>
          <w:p w:rsidR="006904E2" w:rsidRDefault="00010018">
            <w:pPr>
              <w:pStyle w:val="BodyText"/>
              <w:rPr>
                <w:rFonts w:asciiTheme="minorHAnsi" w:hAnsiTheme="minorHAnsi"/>
                <w:sz w:val="20"/>
                <w:szCs w:val="20"/>
              </w:rPr>
            </w:pPr>
            <w:r>
              <w:rPr>
                <w:rFonts w:ascii="Calibri" w:hAnsi="Calibri"/>
                <w:sz w:val="20"/>
                <w:szCs w:val="20"/>
              </w:rPr>
              <w:t>IALA Council approved</w:t>
            </w:r>
          </w:p>
        </w:tc>
      </w:tr>
      <w:tr w:rsidR="006904E2">
        <w:tc>
          <w:tcPr>
            <w:tcW w:w="1364" w:type="dxa"/>
            <w:tcBorders>
              <w:top w:val="nil"/>
            </w:tcBorders>
            <w:shd w:val="clear" w:color="auto" w:fill="auto"/>
            <w:tcMar>
              <w:left w:w="23" w:type="dxa"/>
            </w:tcMar>
          </w:tcPr>
          <w:p w:rsidR="006904E2" w:rsidRDefault="00010018">
            <w:pPr>
              <w:pStyle w:val="BodyText"/>
              <w:rPr>
                <w:rFonts w:asciiTheme="minorHAnsi" w:hAnsiTheme="minorHAnsi"/>
                <w:sz w:val="20"/>
                <w:szCs w:val="20"/>
              </w:rPr>
            </w:pPr>
            <w:r>
              <w:rPr>
                <w:rFonts w:asciiTheme="minorHAnsi" w:hAnsiTheme="minorHAnsi"/>
                <w:sz w:val="20"/>
                <w:szCs w:val="20"/>
              </w:rPr>
              <w:t xml:space="preserve">Technical Operating </w:t>
            </w:r>
            <w:r>
              <w:rPr>
                <w:rFonts w:asciiTheme="minorHAnsi" w:hAnsiTheme="minorHAnsi"/>
                <w:sz w:val="20"/>
                <w:szCs w:val="20"/>
              </w:rPr>
              <w:lastRenderedPageBreak/>
              <w:t>Personnel</w:t>
            </w:r>
          </w:p>
        </w:tc>
        <w:tc>
          <w:tcPr>
            <w:tcW w:w="960" w:type="dxa"/>
            <w:tcBorders>
              <w:top w:val="nil"/>
            </w:tcBorders>
            <w:shd w:val="clear" w:color="auto" w:fill="auto"/>
            <w:tcMar>
              <w:left w:w="23" w:type="dxa"/>
            </w:tcMar>
            <w:vAlign w:val="center"/>
          </w:tcPr>
          <w:p w:rsidR="006904E2" w:rsidRDefault="006904E2">
            <w:pPr>
              <w:pStyle w:val="BodyText"/>
              <w:jc w:val="center"/>
              <w:rPr>
                <w:rFonts w:asciiTheme="minorHAnsi" w:hAnsiTheme="minorHAnsi"/>
                <w:sz w:val="20"/>
                <w:szCs w:val="20"/>
              </w:rPr>
            </w:pPr>
          </w:p>
        </w:tc>
        <w:tc>
          <w:tcPr>
            <w:tcW w:w="1921" w:type="dxa"/>
            <w:tcBorders>
              <w:top w:val="nil"/>
            </w:tcBorders>
            <w:shd w:val="clear" w:color="auto" w:fill="auto"/>
            <w:tcMar>
              <w:left w:w="23" w:type="dxa"/>
            </w:tcMar>
          </w:tcPr>
          <w:p w:rsidR="006904E2" w:rsidRDefault="00010018">
            <w:pPr>
              <w:pStyle w:val="BodyText"/>
              <w:jc w:val="center"/>
            </w:pPr>
            <w:bookmarkStart w:id="1" w:name="__DdeLink__336_1971738324"/>
            <w:r>
              <w:rPr>
                <w:rFonts w:asciiTheme="minorHAnsi" w:hAnsiTheme="minorHAnsi"/>
                <w:sz w:val="20"/>
                <w:szCs w:val="20"/>
              </w:rPr>
              <w:t>IALA Guideline 1114, chapters 2 and</w:t>
            </w:r>
            <w:bookmarkEnd w:id="1"/>
            <w:r>
              <w:rPr>
                <w:rFonts w:asciiTheme="minorHAnsi" w:hAnsiTheme="minorHAnsi"/>
                <w:sz w:val="20"/>
                <w:szCs w:val="20"/>
              </w:rPr>
              <w:t xml:space="preserve"> 3</w:t>
            </w:r>
          </w:p>
        </w:tc>
        <w:tc>
          <w:tcPr>
            <w:tcW w:w="975" w:type="dxa"/>
            <w:tcBorders>
              <w:top w:val="nil"/>
            </w:tcBorders>
            <w:shd w:val="clear" w:color="auto" w:fill="auto"/>
            <w:tcMar>
              <w:left w:w="23" w:type="dxa"/>
            </w:tcMar>
          </w:tcPr>
          <w:p w:rsidR="006904E2" w:rsidRDefault="006904E2">
            <w:pPr>
              <w:pStyle w:val="BodyText"/>
              <w:jc w:val="center"/>
            </w:pPr>
          </w:p>
        </w:tc>
        <w:tc>
          <w:tcPr>
            <w:tcW w:w="4365" w:type="dxa"/>
            <w:tcBorders>
              <w:top w:val="nil"/>
            </w:tcBorders>
            <w:shd w:val="clear" w:color="auto" w:fill="auto"/>
            <w:tcMar>
              <w:left w:w="23" w:type="dxa"/>
            </w:tcMar>
          </w:tcPr>
          <w:p w:rsidR="006904E2" w:rsidRDefault="00010018">
            <w:pPr>
              <w:pStyle w:val="BodyText"/>
              <w:spacing w:after="0"/>
              <w:rPr>
                <w:rFonts w:asciiTheme="minorHAnsi" w:hAnsiTheme="minorHAnsi"/>
                <w:sz w:val="20"/>
                <w:szCs w:val="20"/>
              </w:rPr>
            </w:pPr>
            <w:r>
              <w:rPr>
                <w:rFonts w:ascii="Calibri" w:hAnsi="Calibri"/>
                <w:sz w:val="20"/>
                <w:szCs w:val="20"/>
              </w:rPr>
              <w:t xml:space="preserve">In the context of the Common Shore-based System Architecture (CSSA), the Technical Operating </w:t>
            </w:r>
            <w:r>
              <w:rPr>
                <w:rFonts w:ascii="Calibri" w:hAnsi="Calibri"/>
                <w:sz w:val="20"/>
                <w:szCs w:val="20"/>
              </w:rPr>
              <w:lastRenderedPageBreak/>
              <w:t>Personnel operates and maintains technical equipment, but has no licence to change structure and/or functionality.</w:t>
            </w:r>
          </w:p>
        </w:tc>
        <w:tc>
          <w:tcPr>
            <w:tcW w:w="1081" w:type="dxa"/>
            <w:tcBorders>
              <w:top w:val="nil"/>
            </w:tcBorders>
            <w:shd w:val="clear" w:color="auto" w:fill="auto"/>
            <w:tcMar>
              <w:left w:w="23" w:type="dxa"/>
            </w:tcMar>
          </w:tcPr>
          <w:p w:rsidR="006904E2" w:rsidRDefault="006904E2">
            <w:pPr>
              <w:pStyle w:val="BodyText"/>
              <w:jc w:val="left"/>
              <w:rPr>
                <w:rFonts w:asciiTheme="minorHAnsi" w:hAnsiTheme="minorHAnsi"/>
                <w:sz w:val="20"/>
                <w:szCs w:val="20"/>
              </w:rPr>
            </w:pPr>
          </w:p>
        </w:tc>
        <w:tc>
          <w:tcPr>
            <w:tcW w:w="1125" w:type="dxa"/>
            <w:tcBorders>
              <w:top w:val="nil"/>
            </w:tcBorders>
            <w:shd w:val="clear" w:color="auto" w:fill="auto"/>
            <w:tcMar>
              <w:left w:w="23" w:type="dxa"/>
            </w:tcMar>
            <w:vAlign w:val="center"/>
          </w:tcPr>
          <w:p w:rsidR="006904E2" w:rsidRDefault="006904E2">
            <w:pPr>
              <w:pStyle w:val="BodyText"/>
              <w:jc w:val="left"/>
              <w:rPr>
                <w:rFonts w:asciiTheme="minorHAnsi" w:hAnsiTheme="minorHAnsi"/>
                <w:sz w:val="20"/>
                <w:szCs w:val="20"/>
              </w:rPr>
            </w:pPr>
          </w:p>
        </w:tc>
        <w:tc>
          <w:tcPr>
            <w:tcW w:w="997" w:type="dxa"/>
            <w:tcBorders>
              <w:top w:val="nil"/>
            </w:tcBorders>
            <w:shd w:val="clear" w:color="auto" w:fill="auto"/>
            <w:tcMar>
              <w:left w:w="23" w:type="dxa"/>
            </w:tcMar>
          </w:tcPr>
          <w:p w:rsidR="006904E2" w:rsidRDefault="00010018">
            <w:pPr>
              <w:pStyle w:val="BodyText"/>
              <w:jc w:val="left"/>
              <w:rPr>
                <w:rFonts w:asciiTheme="minorHAnsi" w:hAnsiTheme="minorHAnsi"/>
                <w:sz w:val="20"/>
                <w:szCs w:val="20"/>
              </w:rPr>
            </w:pPr>
            <w:r>
              <w:rPr>
                <w:rFonts w:ascii="Calibri" w:hAnsi="Calibri"/>
                <w:sz w:val="20"/>
                <w:szCs w:val="20"/>
              </w:rPr>
              <w:t xml:space="preserve">New term </w:t>
            </w:r>
          </w:p>
        </w:tc>
        <w:tc>
          <w:tcPr>
            <w:tcW w:w="1072" w:type="dxa"/>
            <w:tcBorders>
              <w:top w:val="nil"/>
            </w:tcBorders>
            <w:shd w:val="clear" w:color="auto" w:fill="auto"/>
            <w:tcMar>
              <w:left w:w="23" w:type="dxa"/>
            </w:tcMar>
          </w:tcPr>
          <w:p w:rsidR="006904E2" w:rsidRDefault="00010018">
            <w:pPr>
              <w:pStyle w:val="BodyText"/>
              <w:jc w:val="left"/>
              <w:rPr>
                <w:rFonts w:asciiTheme="minorHAnsi" w:hAnsiTheme="minorHAnsi"/>
                <w:sz w:val="20"/>
                <w:szCs w:val="20"/>
              </w:rPr>
            </w:pPr>
            <w:r>
              <w:rPr>
                <w:rFonts w:ascii="Calibri" w:hAnsi="Calibri"/>
                <w:sz w:val="20"/>
                <w:szCs w:val="20"/>
              </w:rPr>
              <w:t>May 2015</w:t>
            </w:r>
          </w:p>
        </w:tc>
        <w:tc>
          <w:tcPr>
            <w:tcW w:w="924" w:type="dxa"/>
            <w:tcBorders>
              <w:top w:val="nil"/>
            </w:tcBorders>
            <w:shd w:val="clear" w:color="auto" w:fill="auto"/>
            <w:tcMar>
              <w:left w:w="23" w:type="dxa"/>
            </w:tcMar>
          </w:tcPr>
          <w:p w:rsidR="006904E2" w:rsidRDefault="00010018">
            <w:pPr>
              <w:pStyle w:val="BodyText"/>
              <w:rPr>
                <w:rFonts w:asciiTheme="minorHAnsi" w:hAnsiTheme="minorHAnsi"/>
                <w:sz w:val="20"/>
                <w:szCs w:val="20"/>
              </w:rPr>
            </w:pPr>
            <w:r>
              <w:rPr>
                <w:rFonts w:ascii="Calibri" w:hAnsi="Calibri"/>
                <w:sz w:val="20"/>
                <w:szCs w:val="20"/>
              </w:rPr>
              <w:t xml:space="preserve">IALA Council </w:t>
            </w:r>
            <w:r>
              <w:rPr>
                <w:rFonts w:ascii="Calibri" w:hAnsi="Calibri"/>
                <w:sz w:val="20"/>
                <w:szCs w:val="20"/>
              </w:rPr>
              <w:lastRenderedPageBreak/>
              <w:t>approved</w:t>
            </w:r>
          </w:p>
        </w:tc>
      </w:tr>
      <w:tr w:rsidR="006904E2">
        <w:tc>
          <w:tcPr>
            <w:tcW w:w="1364" w:type="dxa"/>
            <w:tcBorders>
              <w:top w:val="nil"/>
            </w:tcBorders>
            <w:shd w:val="clear" w:color="auto" w:fill="auto"/>
            <w:tcMar>
              <w:left w:w="23" w:type="dxa"/>
            </w:tcMar>
          </w:tcPr>
          <w:p w:rsidR="006904E2" w:rsidRDefault="00010018">
            <w:pPr>
              <w:pStyle w:val="BodyText"/>
              <w:rPr>
                <w:rFonts w:asciiTheme="minorHAnsi" w:hAnsiTheme="minorHAnsi"/>
                <w:sz w:val="20"/>
                <w:szCs w:val="20"/>
              </w:rPr>
            </w:pPr>
            <w:r>
              <w:rPr>
                <w:rFonts w:asciiTheme="minorHAnsi" w:hAnsiTheme="minorHAnsi"/>
                <w:sz w:val="20"/>
                <w:szCs w:val="20"/>
              </w:rPr>
              <w:lastRenderedPageBreak/>
              <w:t>Technical Development Personnel</w:t>
            </w:r>
          </w:p>
        </w:tc>
        <w:tc>
          <w:tcPr>
            <w:tcW w:w="960" w:type="dxa"/>
            <w:tcBorders>
              <w:top w:val="nil"/>
            </w:tcBorders>
            <w:shd w:val="clear" w:color="auto" w:fill="auto"/>
            <w:tcMar>
              <w:left w:w="23" w:type="dxa"/>
            </w:tcMar>
            <w:vAlign w:val="center"/>
          </w:tcPr>
          <w:p w:rsidR="006904E2" w:rsidRDefault="006904E2">
            <w:pPr>
              <w:pStyle w:val="BodyText"/>
              <w:jc w:val="center"/>
              <w:rPr>
                <w:rFonts w:asciiTheme="minorHAnsi" w:hAnsiTheme="minorHAnsi"/>
                <w:sz w:val="20"/>
                <w:szCs w:val="20"/>
              </w:rPr>
            </w:pPr>
          </w:p>
        </w:tc>
        <w:tc>
          <w:tcPr>
            <w:tcW w:w="1921" w:type="dxa"/>
            <w:tcBorders>
              <w:top w:val="nil"/>
            </w:tcBorders>
            <w:shd w:val="clear" w:color="auto" w:fill="auto"/>
            <w:tcMar>
              <w:left w:w="23" w:type="dxa"/>
            </w:tcMar>
          </w:tcPr>
          <w:p w:rsidR="006904E2" w:rsidRDefault="00010018">
            <w:pPr>
              <w:pStyle w:val="BodyText"/>
              <w:jc w:val="center"/>
            </w:pPr>
            <w:r>
              <w:rPr>
                <w:rFonts w:asciiTheme="minorHAnsi" w:hAnsiTheme="minorHAnsi"/>
                <w:sz w:val="20"/>
                <w:szCs w:val="20"/>
              </w:rPr>
              <w:t>IALA Guideline 1114, chapters 2 and 3</w:t>
            </w:r>
          </w:p>
        </w:tc>
        <w:tc>
          <w:tcPr>
            <w:tcW w:w="975" w:type="dxa"/>
            <w:tcBorders>
              <w:top w:val="nil"/>
            </w:tcBorders>
            <w:shd w:val="clear" w:color="auto" w:fill="auto"/>
            <w:tcMar>
              <w:left w:w="23" w:type="dxa"/>
            </w:tcMar>
          </w:tcPr>
          <w:p w:rsidR="006904E2" w:rsidRDefault="006904E2">
            <w:pPr>
              <w:pStyle w:val="BodyText"/>
              <w:jc w:val="center"/>
            </w:pPr>
          </w:p>
        </w:tc>
        <w:tc>
          <w:tcPr>
            <w:tcW w:w="4365" w:type="dxa"/>
            <w:tcBorders>
              <w:top w:val="nil"/>
            </w:tcBorders>
            <w:shd w:val="clear" w:color="auto" w:fill="auto"/>
            <w:tcMar>
              <w:left w:w="23" w:type="dxa"/>
            </w:tcMar>
          </w:tcPr>
          <w:p w:rsidR="006904E2" w:rsidRDefault="00010018">
            <w:pPr>
              <w:pStyle w:val="BodyText"/>
              <w:spacing w:after="0"/>
            </w:pPr>
            <w:proofErr w:type="spellStart"/>
            <w:proofErr w:type="gramStart"/>
            <w:r>
              <w:rPr>
                <w:rFonts w:asciiTheme="minorHAnsi" w:hAnsiTheme="minorHAnsi"/>
                <w:sz w:val="20"/>
                <w:szCs w:val="20"/>
              </w:rPr>
              <w:t>n</w:t>
            </w:r>
            <w:proofErr w:type="spellEnd"/>
            <w:proofErr w:type="gramEnd"/>
            <w:r>
              <w:rPr>
                <w:rFonts w:asciiTheme="minorHAnsi" w:hAnsiTheme="minorHAnsi"/>
                <w:sz w:val="20"/>
                <w:szCs w:val="20"/>
              </w:rPr>
              <w:t xml:space="preserve"> the context of the Common Shore-based System Architecture (CSSA), the technical Development Personnel plans, deploys and further develops technical equipment and has licence to change structure and/or functionality.</w:t>
            </w:r>
          </w:p>
        </w:tc>
        <w:tc>
          <w:tcPr>
            <w:tcW w:w="1081" w:type="dxa"/>
            <w:tcBorders>
              <w:top w:val="nil"/>
            </w:tcBorders>
            <w:shd w:val="clear" w:color="auto" w:fill="auto"/>
            <w:tcMar>
              <w:left w:w="23" w:type="dxa"/>
            </w:tcMar>
          </w:tcPr>
          <w:p w:rsidR="006904E2" w:rsidRDefault="006904E2">
            <w:pPr>
              <w:pStyle w:val="BodyText"/>
              <w:jc w:val="left"/>
              <w:rPr>
                <w:rFonts w:asciiTheme="minorHAnsi" w:hAnsiTheme="minorHAnsi"/>
                <w:sz w:val="20"/>
                <w:szCs w:val="20"/>
              </w:rPr>
            </w:pPr>
          </w:p>
        </w:tc>
        <w:tc>
          <w:tcPr>
            <w:tcW w:w="1125" w:type="dxa"/>
            <w:tcBorders>
              <w:top w:val="nil"/>
            </w:tcBorders>
            <w:shd w:val="clear" w:color="auto" w:fill="auto"/>
            <w:tcMar>
              <w:left w:w="23" w:type="dxa"/>
            </w:tcMar>
            <w:vAlign w:val="center"/>
          </w:tcPr>
          <w:p w:rsidR="006904E2" w:rsidRDefault="006904E2">
            <w:pPr>
              <w:pStyle w:val="BodyText"/>
              <w:jc w:val="left"/>
              <w:rPr>
                <w:rFonts w:asciiTheme="minorHAnsi" w:hAnsiTheme="minorHAnsi"/>
                <w:sz w:val="20"/>
                <w:szCs w:val="20"/>
              </w:rPr>
            </w:pPr>
          </w:p>
        </w:tc>
        <w:tc>
          <w:tcPr>
            <w:tcW w:w="997" w:type="dxa"/>
            <w:tcBorders>
              <w:top w:val="nil"/>
            </w:tcBorders>
            <w:shd w:val="clear" w:color="auto" w:fill="auto"/>
            <w:tcMar>
              <w:left w:w="23" w:type="dxa"/>
            </w:tcMar>
          </w:tcPr>
          <w:p w:rsidR="006904E2" w:rsidRDefault="00010018">
            <w:pPr>
              <w:pStyle w:val="BodyText"/>
              <w:jc w:val="left"/>
              <w:rPr>
                <w:rFonts w:asciiTheme="minorHAnsi" w:hAnsiTheme="minorHAnsi"/>
                <w:sz w:val="20"/>
                <w:szCs w:val="20"/>
              </w:rPr>
            </w:pPr>
            <w:r>
              <w:rPr>
                <w:rFonts w:ascii="Calibri" w:hAnsi="Calibri"/>
                <w:sz w:val="20"/>
                <w:szCs w:val="20"/>
              </w:rPr>
              <w:t xml:space="preserve">New term </w:t>
            </w:r>
          </w:p>
        </w:tc>
        <w:tc>
          <w:tcPr>
            <w:tcW w:w="1072" w:type="dxa"/>
            <w:tcBorders>
              <w:top w:val="nil"/>
            </w:tcBorders>
            <w:shd w:val="clear" w:color="auto" w:fill="auto"/>
            <w:tcMar>
              <w:left w:w="23" w:type="dxa"/>
            </w:tcMar>
          </w:tcPr>
          <w:p w:rsidR="006904E2" w:rsidRDefault="00010018">
            <w:pPr>
              <w:pStyle w:val="BodyText"/>
              <w:jc w:val="left"/>
              <w:rPr>
                <w:rFonts w:asciiTheme="minorHAnsi" w:hAnsiTheme="minorHAnsi"/>
                <w:sz w:val="20"/>
                <w:szCs w:val="20"/>
              </w:rPr>
            </w:pPr>
            <w:r>
              <w:rPr>
                <w:rFonts w:ascii="Calibri" w:hAnsi="Calibri"/>
                <w:sz w:val="20"/>
                <w:szCs w:val="20"/>
              </w:rPr>
              <w:t>May 2015</w:t>
            </w:r>
          </w:p>
        </w:tc>
        <w:tc>
          <w:tcPr>
            <w:tcW w:w="924" w:type="dxa"/>
            <w:tcBorders>
              <w:top w:val="nil"/>
            </w:tcBorders>
            <w:shd w:val="clear" w:color="auto" w:fill="auto"/>
            <w:tcMar>
              <w:left w:w="23" w:type="dxa"/>
            </w:tcMar>
          </w:tcPr>
          <w:p w:rsidR="006904E2" w:rsidRDefault="00010018">
            <w:pPr>
              <w:pStyle w:val="BodyText"/>
              <w:rPr>
                <w:rFonts w:asciiTheme="minorHAnsi" w:hAnsiTheme="minorHAnsi"/>
                <w:sz w:val="20"/>
                <w:szCs w:val="20"/>
              </w:rPr>
            </w:pPr>
            <w:r>
              <w:rPr>
                <w:rFonts w:ascii="Calibri" w:hAnsi="Calibri"/>
                <w:sz w:val="20"/>
                <w:szCs w:val="20"/>
              </w:rPr>
              <w:t>IALA Council approved</w:t>
            </w:r>
          </w:p>
        </w:tc>
      </w:tr>
    </w:tbl>
    <w:p w:rsidR="006904E2" w:rsidRDefault="006904E2">
      <w:pPr>
        <w:pStyle w:val="BodyText"/>
        <w:jc w:val="center"/>
      </w:pPr>
    </w:p>
    <w:sectPr w:rsidR="006904E2">
      <w:headerReference w:type="default" r:id="rId8"/>
      <w:footerReference w:type="default" r:id="rId9"/>
      <w:pgSz w:w="16838" w:h="11906" w:orient="landscape"/>
      <w:pgMar w:top="1134" w:right="1134" w:bottom="1134" w:left="1134" w:header="709" w:footer="709" w:gutter="0"/>
      <w:cols w:space="720"/>
      <w:formProt w:val="0"/>
      <w:docGrid w:linePitch="360" w:charSpace="-20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79CB" w:rsidRDefault="00DC79CB">
      <w:r>
        <w:separator/>
      </w:r>
    </w:p>
  </w:endnote>
  <w:endnote w:type="continuationSeparator" w:id="0">
    <w:p w:rsidR="00DC79CB" w:rsidRDefault="00DC7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0"/>
    <w:family w:val="roman"/>
    <w:pitch w:val="variable"/>
  </w:font>
  <w:font w:name="Microsoft YaHei">
    <w:panose1 w:val="020B0503020204020204"/>
    <w:charset w:val="86"/>
    <w:family w:val="swiss"/>
    <w:pitch w:val="variable"/>
    <w:sig w:usb0="A0000287" w:usb1="28C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04E2" w:rsidRDefault="00010018">
    <w:pPr>
      <w:pStyle w:val="Footer"/>
    </w:pPr>
    <w:r>
      <w:rPr>
        <w:rFonts w:ascii="Calibri" w:hAnsi="Calibri"/>
        <w:sz w:val="18"/>
        <w:szCs w:val="18"/>
      </w:rPr>
      <w:t>DWG proposal form DWG1-4.1</w:t>
    </w:r>
    <w:r>
      <w:rPr>
        <w:rFonts w:ascii="Calibri" w:hAnsi="Calibri"/>
        <w:sz w:val="18"/>
        <w:szCs w:val="18"/>
      </w:rPr>
      <w:tab/>
    </w:r>
    <w:r>
      <w:rPr>
        <w:rFonts w:ascii="Calibri" w:hAnsi="Calibri"/>
        <w:sz w:val="18"/>
        <w:szCs w:val="18"/>
      </w:rPr>
      <w:tab/>
    </w:r>
    <w:r>
      <w:rPr>
        <w:rFonts w:ascii="Calibri" w:hAnsi="Calibri"/>
        <w:sz w:val="18"/>
        <w:szCs w:val="18"/>
      </w:rPr>
      <w:tab/>
    </w:r>
    <w:r>
      <w:rPr>
        <w:rFonts w:ascii="Calibri" w:hAnsi="Calibri"/>
        <w:sz w:val="18"/>
        <w:szCs w:val="18"/>
      </w:rPr>
      <w:tab/>
    </w:r>
    <w:r>
      <w:rPr>
        <w:rFonts w:ascii="Calibri" w:hAnsi="Calibri"/>
        <w:sz w:val="18"/>
        <w:szCs w:val="18"/>
      </w:rPr>
      <w:tab/>
    </w:r>
    <w:r>
      <w:rPr>
        <w:rFonts w:ascii="Calibri" w:hAnsi="Calibri"/>
        <w:sz w:val="18"/>
        <w:szCs w:val="18"/>
      </w:rPr>
      <w:tab/>
    </w:r>
    <w:r>
      <w:rPr>
        <w:rFonts w:ascii="Calibri" w:hAnsi="Calibri"/>
        <w:sz w:val="18"/>
        <w:szCs w:val="18"/>
      </w:rPr>
      <w:tab/>
      <w:t>21 September 2016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79CB" w:rsidRDefault="00DC79CB">
      <w:r>
        <w:separator/>
      </w:r>
    </w:p>
  </w:footnote>
  <w:footnote w:type="continuationSeparator" w:id="0">
    <w:p w:rsidR="00DC79CB" w:rsidRDefault="00DC79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04E2" w:rsidRDefault="00010018">
    <w:pPr>
      <w:pStyle w:val="Header"/>
      <w:jc w:val="center"/>
      <w:rPr>
        <w:rFonts w:ascii="Calibri" w:hAnsi="Calibri"/>
        <w:b/>
        <w:color w:val="0070C0"/>
        <w:sz w:val="32"/>
        <w:szCs w:val="32"/>
      </w:rPr>
    </w:pPr>
    <w:r>
      <w:rPr>
        <w:noProof/>
        <w:lang w:val="en-IE" w:eastAsia="en-IE"/>
      </w:rPr>
      <w:drawing>
        <wp:anchor distT="0" distB="0" distL="114300" distR="114300" simplePos="0" relativeHeight="12" behindDoc="1" locked="0" layoutInCell="1" allowOverlap="1">
          <wp:simplePos x="0" y="0"/>
          <wp:positionH relativeFrom="column">
            <wp:posOffset>8242300</wp:posOffset>
          </wp:positionH>
          <wp:positionV relativeFrom="paragraph">
            <wp:posOffset>-450215</wp:posOffset>
          </wp:positionV>
          <wp:extent cx="921385" cy="89979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a:stretch>
                    <a:fillRect/>
                  </a:stretch>
                </pic:blipFill>
                <pic:spPr bwMode="auto">
                  <a:xfrm>
                    <a:off x="0" y="0"/>
                    <a:ext cx="921385" cy="899795"/>
                  </a:xfrm>
                  <a:prstGeom prst="rect">
                    <a:avLst/>
                  </a:prstGeom>
                </pic:spPr>
              </pic:pic>
            </a:graphicData>
          </a:graphic>
        </wp:anchor>
      </w:drawing>
    </w:r>
    <w:r>
      <w:rPr>
        <w:rFonts w:ascii="Calibri" w:hAnsi="Calibri"/>
        <w:b/>
        <w:color w:val="0070C0"/>
        <w:sz w:val="32"/>
        <w:szCs w:val="32"/>
      </w:rPr>
      <w:t>International Dictionary of Marine Aids to Navigation (Dictionary)</w:t>
    </w:r>
  </w:p>
  <w:p w:rsidR="006904E2" w:rsidRDefault="00010018">
    <w:pPr>
      <w:pStyle w:val="Header"/>
      <w:jc w:val="center"/>
      <w:rPr>
        <w:rFonts w:ascii="Calibri" w:hAnsi="Calibri"/>
        <w:color w:val="0070C0"/>
        <w:sz w:val="32"/>
        <w:szCs w:val="32"/>
      </w:rPr>
    </w:pPr>
    <w:r>
      <w:rPr>
        <w:rFonts w:ascii="Calibri" w:hAnsi="Calibri"/>
        <w:b/>
        <w:color w:val="0070C0"/>
        <w:sz w:val="32"/>
        <w:szCs w:val="32"/>
      </w:rPr>
      <w:t>Amendment Proposal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5B51F4D"/>
    <w:multiLevelType w:val="multilevel"/>
    <w:tmpl w:val="FD4ACD8A"/>
    <w:lvl w:ilvl="0">
      <w:start w:val="1"/>
      <w:numFmt w:val="decimal"/>
      <w:lvlText w:val="%1"/>
      <w:lvlJc w:val="left"/>
      <w:pPr>
        <w:tabs>
          <w:tab w:val="num" w:pos="567"/>
        </w:tabs>
        <w:ind w:left="567" w:hanging="567"/>
      </w:pPr>
    </w:lvl>
    <w:lvl w:ilvl="1">
      <w:start w:val="1"/>
      <w:numFmt w:val="decimal"/>
      <w:lvlText w:val="%1.%2"/>
      <w:lvlJc w:val="left"/>
      <w:pPr>
        <w:tabs>
          <w:tab w:val="num" w:pos="851"/>
        </w:tabs>
        <w:ind w:left="851" w:hanging="851"/>
      </w:pPr>
    </w:lvl>
    <w:lvl w:ilvl="2">
      <w:start w:val="1"/>
      <w:numFmt w:val="decimal"/>
      <w:lvlText w:val="%1.%2.%3"/>
      <w:lvlJc w:val="left"/>
      <w:pPr>
        <w:tabs>
          <w:tab w:val="num" w:pos="992"/>
        </w:tabs>
        <w:ind w:left="992" w:hanging="992"/>
      </w:pPr>
    </w:lvl>
    <w:lvl w:ilvl="3">
      <w:start w:val="1"/>
      <w:numFmt w:val="decimal"/>
      <w:lvlText w:val="%1.%2.%3.%4"/>
      <w:lvlJc w:val="left"/>
      <w:pPr>
        <w:tabs>
          <w:tab w:val="num" w:pos="1134"/>
        </w:tabs>
        <w:ind w:left="1134" w:hanging="113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nsid w:val="48133DAC"/>
    <w:multiLevelType w:val="multilevel"/>
    <w:tmpl w:val="7D0010E4"/>
    <w:lvl w:ilvl="0">
      <w:start w:val="1"/>
      <w:numFmt w:val="decimal"/>
      <w:pStyle w:val="Heading1"/>
      <w:lvlText w:val="%1"/>
      <w:lvlJc w:val="left"/>
      <w:pPr>
        <w:tabs>
          <w:tab w:val="num" w:pos="567"/>
        </w:tabs>
        <w:ind w:left="567" w:hanging="567"/>
      </w:pPr>
    </w:lvl>
    <w:lvl w:ilvl="1">
      <w:start w:val="1"/>
      <w:numFmt w:val="decimal"/>
      <w:pStyle w:val="Heading2"/>
      <w:lvlText w:val="%1.%2"/>
      <w:lvlJc w:val="left"/>
      <w:pPr>
        <w:tabs>
          <w:tab w:val="num" w:pos="851"/>
        </w:tabs>
        <w:ind w:left="851" w:hanging="851"/>
      </w:pPr>
    </w:lvl>
    <w:lvl w:ilvl="2">
      <w:start w:val="1"/>
      <w:numFmt w:val="decimal"/>
      <w:pStyle w:val="Heading3"/>
      <w:lvlText w:val="%1.%2.%3"/>
      <w:lvlJc w:val="left"/>
      <w:pPr>
        <w:tabs>
          <w:tab w:val="num" w:pos="992"/>
        </w:tabs>
        <w:ind w:left="992" w:hanging="992"/>
      </w:pPr>
    </w:lvl>
    <w:lvl w:ilvl="3">
      <w:start w:val="1"/>
      <w:numFmt w:val="decimal"/>
      <w:pStyle w:val="Heading4"/>
      <w:lvlText w:val="%1.%2.%3.%4"/>
      <w:lvlJc w:val="left"/>
      <w:pPr>
        <w:tabs>
          <w:tab w:val="num" w:pos="1134"/>
        </w:tabs>
        <w:ind w:left="1134" w:hanging="113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04E2"/>
    <w:rsid w:val="00010018"/>
    <w:rsid w:val="001752CE"/>
    <w:rsid w:val="006904E2"/>
    <w:rsid w:val="0085101D"/>
    <w:rsid w:val="00AC10A5"/>
    <w:rsid w:val="00DC79CB"/>
  </w:rsids>
  <m:mathPr>
    <m:mathFont m:val="Cambria Math"/>
    <m:brkBin m:val="before"/>
    <m:brkBinSub m:val="--"/>
    <m:smallFrac m:val="0"/>
    <m:dispDef/>
    <m:lMargin m:val="0"/>
    <m:rMargin m:val="0"/>
    <m:defJc m:val="centerGroup"/>
    <m:wrapIndent m:val="1440"/>
    <m:intLim m:val="subSup"/>
    <m:naryLim m:val="undOvr"/>
  </m:mathPr>
  <w:themeFontLang w:val="en-GB"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EE97B3F-F7BB-47F2-9B37-24713F79A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17A9"/>
    <w:rPr>
      <w:rFonts w:ascii="Arial" w:hAnsi="Arial" w:cs="Calibri"/>
      <w:color w:val="00000A"/>
      <w:sz w:val="22"/>
      <w:szCs w:val="22"/>
    </w:rPr>
  </w:style>
  <w:style w:type="paragraph" w:styleId="Heading1">
    <w:name w:val="heading 1"/>
    <w:basedOn w:val="Normal"/>
    <w:link w:val="Heading1Char"/>
    <w:qFormat/>
    <w:rsid w:val="00011CD2"/>
    <w:pPr>
      <w:keepNext/>
      <w:numPr>
        <w:numId w:val="1"/>
      </w:numPr>
      <w:spacing w:before="240" w:after="240"/>
      <w:outlineLvl w:val="0"/>
    </w:pPr>
    <w:rPr>
      <w:b/>
      <w:caps/>
      <w:color w:val="0070C0"/>
      <w:sz w:val="24"/>
      <w:lang w:eastAsia="de-DE"/>
    </w:rPr>
  </w:style>
  <w:style w:type="paragraph" w:styleId="Heading2">
    <w:name w:val="heading 2"/>
    <w:basedOn w:val="Normal"/>
    <w:link w:val="Heading2Char"/>
    <w:qFormat/>
    <w:rsid w:val="00D332B3"/>
    <w:pPr>
      <w:numPr>
        <w:ilvl w:val="1"/>
        <w:numId w:val="1"/>
      </w:numPr>
      <w:spacing w:before="120" w:after="120"/>
      <w:outlineLvl w:val="1"/>
    </w:pPr>
    <w:rPr>
      <w:b/>
    </w:rPr>
  </w:style>
  <w:style w:type="paragraph" w:styleId="Heading3">
    <w:name w:val="heading 3"/>
    <w:basedOn w:val="Normal"/>
    <w:link w:val="Heading3Char"/>
    <w:qFormat/>
    <w:rsid w:val="00D332B3"/>
    <w:pPr>
      <w:keepNext/>
      <w:numPr>
        <w:ilvl w:val="2"/>
        <w:numId w:val="1"/>
      </w:numPr>
      <w:spacing w:before="120" w:after="120"/>
      <w:outlineLvl w:val="2"/>
    </w:pPr>
    <w:rPr>
      <w:szCs w:val="20"/>
      <w:lang w:eastAsia="de-DE"/>
    </w:rPr>
  </w:style>
  <w:style w:type="paragraph" w:styleId="Heading4">
    <w:name w:val="heading 4"/>
    <w:basedOn w:val="Normal"/>
    <w:link w:val="Heading4Char"/>
    <w:qFormat/>
    <w:rsid w:val="00D332B3"/>
    <w:pPr>
      <w:keepNext/>
      <w:numPr>
        <w:ilvl w:val="3"/>
        <w:numId w:val="1"/>
      </w:numPr>
      <w:spacing w:before="120" w:after="120"/>
      <w:outlineLvl w:val="3"/>
    </w:pPr>
    <w:rPr>
      <w:szCs w:val="20"/>
      <w:lang w:val="en-US" w:eastAsia="de-DE"/>
    </w:rPr>
  </w:style>
  <w:style w:type="paragraph" w:styleId="Heading5">
    <w:name w:val="heading 5"/>
    <w:basedOn w:val="Normal"/>
    <w:next w:val="Normal"/>
    <w:link w:val="Heading5Char"/>
    <w:qFormat/>
    <w:rsid w:val="00D332B3"/>
    <w:pPr>
      <w:numPr>
        <w:ilvl w:val="4"/>
        <w:numId w:val="1"/>
      </w:numPr>
      <w:spacing w:before="240" w:after="120"/>
      <w:outlineLvl w:val="4"/>
    </w:pPr>
    <w:rPr>
      <w:rFonts w:eastAsia="Times New Roman" w:cs="Times New Roman"/>
      <w:szCs w:val="20"/>
      <w:lang w:val="de-DE" w:eastAsia="de-DE"/>
    </w:rPr>
  </w:style>
  <w:style w:type="paragraph" w:styleId="Heading6">
    <w:name w:val="heading 6"/>
    <w:basedOn w:val="Normal"/>
    <w:link w:val="Heading6Char"/>
    <w:qFormat/>
    <w:rsid w:val="00D332B3"/>
    <w:pPr>
      <w:numPr>
        <w:ilvl w:val="5"/>
        <w:numId w:val="1"/>
      </w:numPr>
      <w:tabs>
        <w:tab w:val="left" w:pos="1418"/>
      </w:tabs>
      <w:spacing w:before="120" w:after="120"/>
      <w:outlineLvl w:val="5"/>
    </w:pPr>
    <w:rPr>
      <w:szCs w:val="20"/>
      <w:lang w:val="de-DE" w:eastAsia="de-DE"/>
    </w:rPr>
  </w:style>
  <w:style w:type="paragraph" w:styleId="Heading7">
    <w:name w:val="heading 7"/>
    <w:basedOn w:val="Normal"/>
    <w:link w:val="Heading7Char"/>
    <w:qFormat/>
    <w:rsid w:val="00D332B3"/>
    <w:pPr>
      <w:numPr>
        <w:ilvl w:val="6"/>
        <w:numId w:val="1"/>
      </w:numPr>
      <w:tabs>
        <w:tab w:val="left" w:pos="1701"/>
      </w:tabs>
      <w:spacing w:before="120" w:after="120"/>
      <w:outlineLvl w:val="6"/>
    </w:pPr>
    <w:rPr>
      <w:szCs w:val="20"/>
      <w:lang w:val="de-DE" w:eastAsia="de-DE"/>
    </w:rPr>
  </w:style>
  <w:style w:type="paragraph" w:styleId="Heading8">
    <w:name w:val="heading 8"/>
    <w:basedOn w:val="Normal"/>
    <w:link w:val="Heading8Char"/>
    <w:qFormat/>
    <w:rsid w:val="00D332B3"/>
    <w:pPr>
      <w:numPr>
        <w:ilvl w:val="7"/>
        <w:numId w:val="1"/>
      </w:numPr>
      <w:tabs>
        <w:tab w:val="left" w:pos="1985"/>
      </w:tabs>
      <w:spacing w:before="120" w:after="120"/>
      <w:outlineLvl w:val="7"/>
    </w:pPr>
    <w:rPr>
      <w:szCs w:val="20"/>
      <w:lang w:val="de-DE" w:eastAsia="de-DE"/>
    </w:rPr>
  </w:style>
  <w:style w:type="paragraph" w:styleId="Heading9">
    <w:name w:val="heading 9"/>
    <w:basedOn w:val="Normal"/>
    <w:link w:val="Heading9Char"/>
    <w:qFormat/>
    <w:rsid w:val="00D332B3"/>
    <w:pPr>
      <w:numPr>
        <w:ilvl w:val="8"/>
        <w:numId w:val="1"/>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011CD2"/>
    <w:rPr>
      <w:rFonts w:ascii="Arial" w:hAnsi="Arial" w:cs="Calibri"/>
      <w:b/>
      <w:caps/>
      <w:color w:val="0070C0"/>
      <w:sz w:val="24"/>
      <w:szCs w:val="22"/>
      <w:lang w:eastAsia="de-DE"/>
    </w:rPr>
  </w:style>
  <w:style w:type="character" w:customStyle="1" w:styleId="Heading2Char">
    <w:name w:val="Heading 2 Char"/>
    <w:link w:val="Heading2"/>
    <w:qFormat/>
    <w:rsid w:val="00E00BE9"/>
    <w:rPr>
      <w:rFonts w:ascii="Arial" w:hAnsi="Arial" w:cs="Calibri"/>
      <w:b/>
      <w:lang w:eastAsia="en-GB"/>
    </w:rPr>
  </w:style>
  <w:style w:type="character" w:customStyle="1" w:styleId="BodyTextChar">
    <w:name w:val="Body Text Char"/>
    <w:link w:val="BodyText"/>
    <w:qFormat/>
    <w:rsid w:val="00E00BE9"/>
    <w:rPr>
      <w:rFonts w:ascii="Arial" w:hAnsi="Arial" w:cs="Times New Roman"/>
      <w:szCs w:val="24"/>
    </w:rPr>
  </w:style>
  <w:style w:type="character" w:customStyle="1" w:styleId="FooterChar">
    <w:name w:val="Footer Char"/>
    <w:link w:val="Footer"/>
    <w:qFormat/>
    <w:rsid w:val="00084F33"/>
    <w:rPr>
      <w:rFonts w:ascii="Arial" w:hAnsi="Arial" w:cs="Times New Roman"/>
      <w:szCs w:val="24"/>
    </w:rPr>
  </w:style>
  <w:style w:type="character" w:customStyle="1" w:styleId="HeaderChar">
    <w:name w:val="Header Char"/>
    <w:link w:val="Header"/>
    <w:qFormat/>
    <w:rsid w:val="005C566C"/>
    <w:rPr>
      <w:rFonts w:ascii="Arial" w:eastAsia="Calibri" w:hAnsi="Arial" w:cs="Times New Roman"/>
      <w:szCs w:val="24"/>
      <w:lang w:eastAsia="en-GB"/>
    </w:rPr>
  </w:style>
  <w:style w:type="character" w:customStyle="1" w:styleId="Heading3Char">
    <w:name w:val="Heading 3 Char"/>
    <w:link w:val="Heading3"/>
    <w:qFormat/>
    <w:rsid w:val="00E00BE9"/>
    <w:rPr>
      <w:rFonts w:ascii="Arial" w:hAnsi="Arial" w:cs="Calibri"/>
      <w:szCs w:val="20"/>
      <w:lang w:eastAsia="de-DE"/>
    </w:rPr>
  </w:style>
  <w:style w:type="character" w:customStyle="1" w:styleId="Heading4Char">
    <w:name w:val="Heading 4 Char"/>
    <w:link w:val="Heading4"/>
    <w:qFormat/>
    <w:rsid w:val="00E00BE9"/>
    <w:rPr>
      <w:rFonts w:ascii="Arial" w:hAnsi="Arial" w:cs="Calibri"/>
      <w:szCs w:val="20"/>
      <w:lang w:val="en-US" w:eastAsia="de-DE"/>
    </w:rPr>
  </w:style>
  <w:style w:type="character" w:customStyle="1" w:styleId="Heading5Char">
    <w:name w:val="Heading 5 Char"/>
    <w:link w:val="Heading5"/>
    <w:qFormat/>
    <w:rsid w:val="00D332B3"/>
    <w:rPr>
      <w:rFonts w:ascii="Arial" w:eastAsia="Times New Roman" w:hAnsi="Arial" w:cs="Times New Roman"/>
      <w:szCs w:val="20"/>
      <w:lang w:val="de-DE" w:eastAsia="de-DE"/>
    </w:rPr>
  </w:style>
  <w:style w:type="character" w:customStyle="1" w:styleId="Heading6Char">
    <w:name w:val="Heading 6 Char"/>
    <w:link w:val="Heading6"/>
    <w:qFormat/>
    <w:rsid w:val="00E00BE9"/>
    <w:rPr>
      <w:rFonts w:ascii="Arial" w:hAnsi="Arial" w:cs="Calibri"/>
      <w:szCs w:val="20"/>
      <w:lang w:val="de-DE" w:eastAsia="de-DE"/>
    </w:rPr>
  </w:style>
  <w:style w:type="character" w:customStyle="1" w:styleId="Heading7Char">
    <w:name w:val="Heading 7 Char"/>
    <w:link w:val="Heading7"/>
    <w:qFormat/>
    <w:rsid w:val="00E00BE9"/>
    <w:rPr>
      <w:rFonts w:ascii="Arial" w:hAnsi="Arial" w:cs="Calibri"/>
      <w:szCs w:val="20"/>
      <w:lang w:val="de-DE" w:eastAsia="de-DE"/>
    </w:rPr>
  </w:style>
  <w:style w:type="character" w:customStyle="1" w:styleId="Heading8Char">
    <w:name w:val="Heading 8 Char"/>
    <w:link w:val="Heading8"/>
    <w:qFormat/>
    <w:rsid w:val="00E00BE9"/>
    <w:rPr>
      <w:rFonts w:ascii="Arial" w:hAnsi="Arial" w:cs="Calibri"/>
      <w:szCs w:val="20"/>
      <w:lang w:val="de-DE" w:eastAsia="de-DE"/>
    </w:rPr>
  </w:style>
  <w:style w:type="character" w:customStyle="1" w:styleId="Heading9Char">
    <w:name w:val="Heading 9 Char"/>
    <w:link w:val="Heading9"/>
    <w:qFormat/>
    <w:rsid w:val="00E00BE9"/>
    <w:rPr>
      <w:rFonts w:ascii="Arial" w:hAnsi="Arial" w:cs="Calibri"/>
      <w:szCs w:val="20"/>
      <w:lang w:val="de-DE" w:eastAsia="de-DE"/>
    </w:rPr>
  </w:style>
  <w:style w:type="character" w:customStyle="1" w:styleId="Internetlink">
    <w:name w:val="Internetlink"/>
    <w:uiPriority w:val="99"/>
    <w:rsid w:val="00FC0EB3"/>
    <w:rPr>
      <w:strike w:val="0"/>
      <w:dstrike w:val="0"/>
      <w:position w:val="0"/>
      <w:sz w:val="22"/>
      <w:vertAlign w:val="baseline"/>
    </w:rPr>
  </w:style>
  <w:style w:type="character" w:styleId="PageNumber">
    <w:name w:val="page number"/>
    <w:basedOn w:val="DefaultParagraphFont"/>
    <w:qFormat/>
    <w:rsid w:val="008D1694"/>
  </w:style>
  <w:style w:type="character" w:customStyle="1" w:styleId="BodyTextIndentChar">
    <w:name w:val="Body Text Indent Char"/>
    <w:link w:val="BodyTextIndent"/>
    <w:qFormat/>
    <w:rsid w:val="00243228"/>
    <w:rPr>
      <w:rFonts w:ascii="Arial" w:hAnsi="Arial" w:cs="Times New Roman"/>
      <w:szCs w:val="24"/>
    </w:rPr>
  </w:style>
  <w:style w:type="character" w:customStyle="1" w:styleId="BodyTextIndent2Char">
    <w:name w:val="Body Text Indent 2 Char"/>
    <w:link w:val="BodyTextIndent2"/>
    <w:qFormat/>
    <w:rsid w:val="00243228"/>
    <w:rPr>
      <w:rFonts w:ascii="Arial" w:hAnsi="Arial" w:cs="Times New Roman"/>
      <w:szCs w:val="24"/>
      <w:lang w:eastAsia="de-DE"/>
    </w:rPr>
  </w:style>
  <w:style w:type="character" w:styleId="FootnoteReference">
    <w:name w:val="footnote reference"/>
    <w:semiHidden/>
    <w:qFormat/>
    <w:rsid w:val="008D1694"/>
    <w:rPr>
      <w:rFonts w:ascii="Arial" w:hAnsi="Arial"/>
      <w:sz w:val="16"/>
    </w:rPr>
  </w:style>
  <w:style w:type="character" w:customStyle="1" w:styleId="FootnoteTextChar">
    <w:name w:val="Footnote Text Char"/>
    <w:link w:val="FootnoteText"/>
    <w:semiHidden/>
    <w:qFormat/>
    <w:rsid w:val="00243228"/>
    <w:rPr>
      <w:rFonts w:ascii="Arial" w:hAnsi="Arial" w:cs="Times New Roman"/>
      <w:sz w:val="20"/>
      <w:szCs w:val="20"/>
    </w:rPr>
  </w:style>
  <w:style w:type="character" w:customStyle="1" w:styleId="SubtitleChar">
    <w:name w:val="Subtitle Char"/>
    <w:link w:val="Subtitle"/>
    <w:qFormat/>
    <w:rsid w:val="00243228"/>
    <w:rPr>
      <w:rFonts w:ascii="Arial" w:hAnsi="Arial" w:cs="Arial"/>
      <w:szCs w:val="24"/>
    </w:rPr>
  </w:style>
  <w:style w:type="character" w:customStyle="1" w:styleId="TitleChar">
    <w:name w:val="Title Char"/>
    <w:link w:val="Title"/>
    <w:qFormat/>
    <w:rsid w:val="00943E9C"/>
    <w:rPr>
      <w:rFonts w:ascii="Arial" w:hAnsi="Arial" w:cs="Arial"/>
      <w:b/>
      <w:bCs/>
      <w:sz w:val="32"/>
      <w:szCs w:val="32"/>
    </w:rPr>
  </w:style>
  <w:style w:type="character" w:customStyle="1" w:styleId="BalloonTextChar">
    <w:name w:val="Balloon Text Char"/>
    <w:basedOn w:val="DefaultParagraphFont"/>
    <w:link w:val="BalloonText"/>
    <w:uiPriority w:val="99"/>
    <w:semiHidden/>
    <w:qFormat/>
    <w:rsid w:val="008A356F"/>
    <w:rPr>
      <w:rFonts w:ascii="Tahoma" w:hAnsi="Tahoma" w:cs="Tahoma"/>
      <w:sz w:val="16"/>
      <w:szCs w:val="16"/>
    </w:rPr>
  </w:style>
  <w:style w:type="character" w:styleId="CommentReference">
    <w:name w:val="annotation reference"/>
    <w:basedOn w:val="DefaultParagraphFont"/>
    <w:uiPriority w:val="99"/>
    <w:semiHidden/>
    <w:unhideWhenUsed/>
    <w:qFormat/>
    <w:rsid w:val="00EA5A97"/>
    <w:rPr>
      <w:sz w:val="16"/>
      <w:szCs w:val="16"/>
    </w:rPr>
  </w:style>
  <w:style w:type="character" w:customStyle="1" w:styleId="CommentTextChar">
    <w:name w:val="Comment Text Char"/>
    <w:basedOn w:val="DefaultParagraphFont"/>
    <w:link w:val="CommentText"/>
    <w:uiPriority w:val="99"/>
    <w:semiHidden/>
    <w:qFormat/>
    <w:rsid w:val="00EA5A97"/>
    <w:rPr>
      <w:rFonts w:ascii="Arial" w:hAnsi="Arial" w:cs="Calibri"/>
    </w:rPr>
  </w:style>
  <w:style w:type="character" w:customStyle="1" w:styleId="CommentSubjectChar">
    <w:name w:val="Comment Subject Char"/>
    <w:basedOn w:val="CommentTextChar"/>
    <w:link w:val="CommentSubject"/>
    <w:uiPriority w:val="99"/>
    <w:semiHidden/>
    <w:qFormat/>
    <w:rsid w:val="00EA5A97"/>
    <w:rPr>
      <w:rFonts w:ascii="Arial" w:hAnsi="Arial" w:cs="Calibri"/>
      <w:b/>
      <w:bCs/>
    </w:rPr>
  </w:style>
  <w:style w:type="character" w:customStyle="1" w:styleId="ListLabel1">
    <w:name w:val="ListLabel 1"/>
    <w:qFormat/>
    <w:rPr>
      <w:b/>
      <w:i w:val="0"/>
      <w:sz w:val="24"/>
      <w:szCs w:val="24"/>
    </w:rPr>
  </w:style>
  <w:style w:type="character" w:customStyle="1" w:styleId="ListLabel2">
    <w:name w:val="ListLabel 2"/>
    <w:qFormat/>
    <w:rPr>
      <w:color w:val="00000A"/>
    </w:rPr>
  </w:style>
  <w:style w:type="character" w:customStyle="1" w:styleId="ListLabel3">
    <w:name w:val="ListLabel 3"/>
    <w:qFormat/>
    <w:rPr>
      <w:color w:val="00000A"/>
    </w:rPr>
  </w:style>
  <w:style w:type="character" w:customStyle="1" w:styleId="ListLabel4">
    <w:name w:val="ListLabel 4"/>
    <w:qFormat/>
    <w:rPr>
      <w:b/>
      <w:bCs w:val="0"/>
      <w:i w:val="0"/>
      <w:iCs w:val="0"/>
      <w:caps w:val="0"/>
      <w:smallCaps w:val="0"/>
      <w:strike w:val="0"/>
      <w:dstrike w:val="0"/>
      <w:vanish w:val="0"/>
      <w:color w:val="000000"/>
      <w:spacing w:val="0"/>
      <w:position w:val="0"/>
      <w:sz w:val="24"/>
      <w:u w:val="none"/>
      <w:vertAlign w:val="baseline"/>
      <w:em w:val="none"/>
    </w:rPr>
  </w:style>
  <w:style w:type="character" w:customStyle="1" w:styleId="ListLabel5">
    <w:name w:val="ListLabel 5"/>
    <w:qFormat/>
    <w:rPr>
      <w:b w:val="0"/>
      <w:i/>
      <w:sz w:val="22"/>
    </w:rPr>
  </w:style>
  <w:style w:type="character" w:customStyle="1" w:styleId="ListLabel6">
    <w:name w:val="ListLabel 6"/>
    <w:qFormat/>
    <w:rPr>
      <w:b/>
      <w:i w:val="0"/>
      <w:sz w:val="24"/>
    </w:rPr>
  </w:style>
  <w:style w:type="character" w:customStyle="1" w:styleId="ListLabel7">
    <w:name w:val="ListLabel 7"/>
    <w:qFormat/>
    <w:rPr>
      <w:b/>
      <w:i w:val="0"/>
      <w:sz w:val="22"/>
    </w:rPr>
  </w:style>
  <w:style w:type="character" w:customStyle="1" w:styleId="ListLabel8">
    <w:name w:val="ListLabel 8"/>
    <w:qFormat/>
    <w:rPr>
      <w:b w:val="0"/>
      <w:i w:val="0"/>
      <w:sz w:val="22"/>
    </w:rPr>
  </w:style>
  <w:style w:type="character" w:customStyle="1" w:styleId="ListLabel9">
    <w:name w:val="ListLabel 9"/>
    <w:qFormat/>
    <w:rPr>
      <w:b w:val="0"/>
      <w:i w:val="0"/>
      <w:sz w:val="22"/>
    </w:rPr>
  </w:style>
  <w:style w:type="character" w:customStyle="1" w:styleId="ListLabel10">
    <w:name w:val="ListLabel 10"/>
    <w:qFormat/>
    <w:rPr>
      <w:b w:val="0"/>
      <w:i/>
      <w:sz w:val="22"/>
    </w:rPr>
  </w:style>
  <w:style w:type="character" w:customStyle="1" w:styleId="ListLabel11">
    <w:name w:val="ListLabel 11"/>
    <w:qFormat/>
    <w:rPr>
      <w:b/>
      <w:i w:val="0"/>
      <w:sz w:val="24"/>
    </w:rPr>
  </w:style>
  <w:style w:type="character" w:customStyle="1" w:styleId="ListLabel12">
    <w:name w:val="ListLabel 12"/>
    <w:qFormat/>
    <w:rPr>
      <w:b/>
      <w:i w:val="0"/>
      <w:sz w:val="22"/>
    </w:rPr>
  </w:style>
  <w:style w:type="character" w:customStyle="1" w:styleId="ListLabel13">
    <w:name w:val="ListLabel 13"/>
    <w:qFormat/>
    <w:rPr>
      <w:b w:val="0"/>
      <w:i w:val="0"/>
      <w:sz w:val="22"/>
    </w:rPr>
  </w:style>
  <w:style w:type="character" w:customStyle="1" w:styleId="ListLabel14">
    <w:name w:val="ListLabel 14"/>
    <w:qFormat/>
    <w:rPr>
      <w:b w:val="0"/>
      <w:i w:val="0"/>
      <w:sz w:val="22"/>
    </w:rPr>
  </w:style>
  <w:style w:type="character" w:customStyle="1" w:styleId="ListLabel15">
    <w:name w:val="ListLabel 15"/>
    <w:qFormat/>
    <w:rPr>
      <w:rFonts w:cs="Symbol"/>
    </w:rPr>
  </w:style>
  <w:style w:type="character" w:customStyle="1" w:styleId="ListLabel16">
    <w:name w:val="ListLabel 16"/>
    <w:qFormat/>
    <w:rPr>
      <w:rFonts w:cs="Courier New"/>
    </w:rPr>
  </w:style>
  <w:style w:type="character" w:customStyle="1" w:styleId="ListLabel17">
    <w:name w:val="ListLabel 17"/>
    <w:qFormat/>
    <w:rPr>
      <w:rFonts w:cs="Wingdings"/>
    </w:rPr>
  </w:style>
  <w:style w:type="character" w:customStyle="1" w:styleId="ListLabel18">
    <w:name w:val="ListLabel 18"/>
    <w:qFormat/>
    <w:rPr>
      <w:rFonts w:cs="Symbol"/>
    </w:rPr>
  </w:style>
  <w:style w:type="character" w:customStyle="1" w:styleId="ListLabel19">
    <w:name w:val="ListLabel 19"/>
    <w:qFormat/>
    <w:rPr>
      <w:rFonts w:cs="Courier New"/>
    </w:rPr>
  </w:style>
  <w:style w:type="character" w:customStyle="1" w:styleId="ListLabel20">
    <w:name w:val="ListLabel 20"/>
    <w:qFormat/>
    <w:rPr>
      <w:rFonts w:cs="Wingdings"/>
    </w:rPr>
  </w:style>
  <w:style w:type="character" w:customStyle="1" w:styleId="ListLabel21">
    <w:name w:val="ListLabel 21"/>
    <w:qFormat/>
    <w:rPr>
      <w:rFonts w:cs="Symbol"/>
    </w:rPr>
  </w:style>
  <w:style w:type="character" w:customStyle="1" w:styleId="ListLabel22">
    <w:name w:val="ListLabel 22"/>
    <w:qFormat/>
    <w:rPr>
      <w:rFonts w:cs="Courier New"/>
    </w:rPr>
  </w:style>
  <w:style w:type="character" w:customStyle="1" w:styleId="ListLabel23">
    <w:name w:val="ListLabel 23"/>
    <w:qFormat/>
    <w:rPr>
      <w:rFonts w:cs="Wingdings"/>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b w:val="0"/>
      <w:i/>
      <w:sz w:val="22"/>
    </w:rPr>
  </w:style>
  <w:style w:type="character" w:customStyle="1" w:styleId="ListLabel31">
    <w:name w:val="ListLabel 31"/>
    <w:qFormat/>
    <w:rPr>
      <w:b w:val="0"/>
      <w:i w:val="0"/>
      <w:sz w:val="22"/>
      <w:szCs w:val="22"/>
    </w:rPr>
  </w:style>
  <w:style w:type="character" w:customStyle="1" w:styleId="ListLabel32">
    <w:name w:val="ListLabel 32"/>
    <w:qFormat/>
    <w:rPr>
      <w:b w:val="0"/>
      <w:i w:val="0"/>
      <w:sz w:val="22"/>
      <w:szCs w:val="22"/>
    </w:rPr>
  </w:style>
  <w:style w:type="character" w:customStyle="1" w:styleId="ListLabel33">
    <w:name w:val="ListLabel 33"/>
    <w:qFormat/>
    <w:rPr>
      <w:b w:val="0"/>
      <w:i w:val="0"/>
      <w:sz w:val="22"/>
      <w:szCs w:val="22"/>
    </w:rPr>
  </w:style>
  <w:style w:type="character" w:customStyle="1" w:styleId="ListLabel34">
    <w:name w:val="ListLabel 34"/>
    <w:qFormat/>
    <w:rPr>
      <w:b w:val="0"/>
      <w:i w:val="0"/>
      <w:sz w:val="22"/>
    </w:rPr>
  </w:style>
  <w:style w:type="character" w:customStyle="1" w:styleId="ListLabel35">
    <w:name w:val="ListLabel 35"/>
    <w:qFormat/>
    <w:rPr>
      <w:b w:val="0"/>
      <w:i w:val="0"/>
      <w:sz w:val="22"/>
      <w:szCs w:val="22"/>
    </w:rPr>
  </w:style>
  <w:style w:type="character" w:customStyle="1" w:styleId="ListLabel36">
    <w:name w:val="ListLabel 36"/>
    <w:qFormat/>
    <w:rPr>
      <w:b w:val="0"/>
      <w:i w:val="0"/>
      <w:sz w:val="22"/>
      <w:szCs w:val="22"/>
    </w:rPr>
  </w:style>
  <w:style w:type="character" w:customStyle="1" w:styleId="ListLabel37">
    <w:name w:val="ListLabel 37"/>
    <w:qFormat/>
    <w:rPr>
      <w:b w:val="0"/>
      <w:i w:val="0"/>
      <w:sz w:val="22"/>
      <w:szCs w:val="22"/>
    </w:rPr>
  </w:style>
  <w:style w:type="character" w:customStyle="1" w:styleId="ListLabel38">
    <w:name w:val="ListLabel 38"/>
    <w:qFormat/>
    <w:rPr>
      <w:b w:val="0"/>
      <w:i w:val="0"/>
      <w:sz w:val="22"/>
      <w:szCs w:val="22"/>
    </w:rPr>
  </w:style>
  <w:style w:type="character" w:customStyle="1" w:styleId="ListLabel39">
    <w:name w:val="ListLabel 39"/>
    <w:qFormat/>
    <w:rPr>
      <w:b/>
      <w:i w:val="0"/>
      <w:sz w:val="24"/>
    </w:rPr>
  </w:style>
  <w:style w:type="character" w:customStyle="1" w:styleId="ListLabel40">
    <w:name w:val="ListLabel 40"/>
    <w:qFormat/>
    <w:rPr>
      <w:b w:val="0"/>
      <w:i w:val="0"/>
      <w:sz w:val="22"/>
    </w:rPr>
  </w:style>
  <w:style w:type="character" w:customStyle="1" w:styleId="ListLabel41">
    <w:name w:val="ListLabel 41"/>
    <w:qFormat/>
    <w:rPr>
      <w:b/>
      <w:i w:val="0"/>
      <w:sz w:val="24"/>
    </w:rPr>
  </w:style>
  <w:style w:type="character" w:customStyle="1" w:styleId="ListLabel42">
    <w:name w:val="ListLabel 42"/>
    <w:qFormat/>
    <w:rPr>
      <w:b w:val="0"/>
      <w:i w:val="0"/>
      <w:sz w:val="22"/>
    </w:rPr>
  </w:style>
  <w:style w:type="character" w:customStyle="1" w:styleId="ListLabel43">
    <w:name w:val="ListLabel 43"/>
    <w:qFormat/>
    <w:rPr>
      <w:b/>
      <w:i w:val="0"/>
      <w:sz w:val="24"/>
    </w:rPr>
  </w:style>
  <w:style w:type="character" w:customStyle="1" w:styleId="ListLabel44">
    <w:name w:val="ListLabel 44"/>
    <w:qFormat/>
    <w:rPr>
      <w:b w:val="0"/>
      <w:i w:val="0"/>
      <w:sz w:val="22"/>
    </w:rPr>
  </w:style>
  <w:style w:type="character" w:customStyle="1" w:styleId="ListLabel45">
    <w:name w:val="ListLabel 45"/>
    <w:qFormat/>
    <w:rPr>
      <w:b/>
      <w:i w:val="0"/>
      <w:sz w:val="24"/>
    </w:rPr>
  </w:style>
  <w:style w:type="character" w:customStyle="1" w:styleId="ListLabel46">
    <w:name w:val="ListLabel 46"/>
    <w:qFormat/>
    <w:rPr>
      <w:b w:val="0"/>
      <w:i w:val="0"/>
      <w:sz w:val="22"/>
    </w:rPr>
  </w:style>
  <w:style w:type="character" w:customStyle="1" w:styleId="ListLabel47">
    <w:name w:val="ListLabel 47"/>
    <w:qFormat/>
    <w:rPr>
      <w:b/>
      <w:i w:val="0"/>
      <w:sz w:val="24"/>
    </w:rPr>
  </w:style>
  <w:style w:type="character" w:customStyle="1" w:styleId="ListLabel48">
    <w:name w:val="ListLabel 48"/>
    <w:qFormat/>
    <w:rPr>
      <w:b w:val="0"/>
      <w:i w:val="0"/>
      <w:sz w:val="22"/>
    </w:rPr>
  </w:style>
  <w:style w:type="character" w:customStyle="1" w:styleId="ListLabel49">
    <w:name w:val="ListLabel 49"/>
    <w:qFormat/>
    <w:rPr>
      <w:b/>
      <w:i w:val="0"/>
      <w:sz w:val="24"/>
    </w:rPr>
  </w:style>
  <w:style w:type="character" w:customStyle="1" w:styleId="ListLabel50">
    <w:name w:val="ListLabel 50"/>
    <w:qFormat/>
    <w:rPr>
      <w:b w:val="0"/>
      <w:i w:val="0"/>
      <w:sz w:val="22"/>
    </w:rPr>
  </w:style>
  <w:style w:type="character" w:customStyle="1" w:styleId="ListLabel51">
    <w:name w:val="ListLabel 51"/>
    <w:qFormat/>
    <w:rPr>
      <w:b/>
      <w:i w:val="0"/>
      <w:sz w:val="28"/>
    </w:rPr>
  </w:style>
  <w:style w:type="character" w:customStyle="1" w:styleId="ListLabel52">
    <w:name w:val="ListLabel 52"/>
    <w:qFormat/>
    <w:rPr>
      <w:b/>
      <w:i w:val="0"/>
      <w:sz w:val="28"/>
    </w:rPr>
  </w:style>
  <w:style w:type="character" w:customStyle="1" w:styleId="ListLabel53">
    <w:name w:val="ListLabel 53"/>
    <w:qFormat/>
    <w:rPr>
      <w:b/>
      <w:i w:val="0"/>
      <w:sz w:val="28"/>
    </w:rPr>
  </w:style>
  <w:style w:type="character" w:customStyle="1" w:styleId="ListLabel54">
    <w:name w:val="ListLabel 54"/>
    <w:qFormat/>
    <w:rPr>
      <w:rFonts w:cs="Times New Roman"/>
      <w:b w:val="0"/>
      <w:bCs w:val="0"/>
      <w:i w:val="0"/>
      <w:iCs w:val="0"/>
      <w:caps w:val="0"/>
      <w:smallCaps w:val="0"/>
      <w:strike w:val="0"/>
      <w:dstrike w:val="0"/>
      <w:vanish w:val="0"/>
      <w:color w:val="000000"/>
      <w:spacing w:val="0"/>
      <w:position w:val="0"/>
      <w:sz w:val="22"/>
      <w:u w:val="none"/>
      <w:vertAlign w:val="baseline"/>
      <w:em w:val="none"/>
    </w:rPr>
  </w:style>
  <w:style w:type="character" w:customStyle="1" w:styleId="ListLabel55">
    <w:name w:val="ListLabel 55"/>
    <w:qFormat/>
    <w:rPr>
      <w:rFonts w:cs="Courier New"/>
    </w:rPr>
  </w:style>
  <w:style w:type="character" w:customStyle="1" w:styleId="ListLabel56">
    <w:name w:val="ListLabel 56"/>
    <w:qFormat/>
    <w:rPr>
      <w:rFonts w:cs="Courier New"/>
    </w:rPr>
  </w:style>
  <w:style w:type="character" w:customStyle="1" w:styleId="ListLabel57">
    <w:name w:val="ListLabel 57"/>
    <w:qFormat/>
    <w:rPr>
      <w:rFonts w:cs="Courier New"/>
    </w:rPr>
  </w:style>
  <w:style w:type="character" w:customStyle="1" w:styleId="ListLabel58">
    <w:name w:val="ListLabel 58"/>
    <w:qFormat/>
    <w:rPr>
      <w:b w:val="0"/>
      <w:i w:val="0"/>
      <w:sz w:val="22"/>
      <w:szCs w:val="22"/>
    </w:rPr>
  </w:style>
  <w:style w:type="character" w:customStyle="1" w:styleId="ListLabel59">
    <w:name w:val="ListLabel 59"/>
    <w:qFormat/>
    <w:rPr>
      <w:b w:val="0"/>
      <w:i w:val="0"/>
      <w:sz w:val="22"/>
      <w:szCs w:val="22"/>
    </w:rPr>
  </w:style>
  <w:style w:type="character" w:customStyle="1" w:styleId="ListLabel60">
    <w:name w:val="ListLabel 60"/>
    <w:qFormat/>
    <w:rPr>
      <w:rFonts w:cs="Times New Roman"/>
      <w:b/>
      <w:bCs/>
      <w:i w:val="0"/>
      <w:iCs w:val="0"/>
      <w:caps/>
      <w:strike w:val="0"/>
      <w:dstrike w:val="0"/>
      <w:outline w:val="0"/>
      <w:shadow w:val="0"/>
      <w:emboss w:val="0"/>
      <w:imprint w:val="0"/>
      <w:vanish w:val="0"/>
      <w:color w:val="00000A"/>
      <w:spacing w:val="0"/>
      <w:w w:val="0"/>
      <w:position w:val="0"/>
      <w:sz w:val="24"/>
      <w:szCs w:val="24"/>
      <w:u w:val="none" w:color="000000"/>
      <w:effect w:val="none"/>
      <w:vertAlign w:val="baseline"/>
      <w:em w:val="none"/>
    </w:rPr>
  </w:style>
  <w:style w:type="character" w:customStyle="1" w:styleId="ListLabel61">
    <w:name w:val="ListLabel 61"/>
    <w:qFormat/>
    <w:rPr>
      <w:b/>
      <w:i w:val="0"/>
      <w:sz w:val="24"/>
    </w:rPr>
  </w:style>
  <w:style w:type="character" w:customStyle="1" w:styleId="ListLabel62">
    <w:name w:val="ListLabel 62"/>
    <w:qFormat/>
    <w:rPr>
      <w:b/>
      <w:i w:val="0"/>
      <w:sz w:val="22"/>
    </w:rPr>
  </w:style>
  <w:style w:type="character" w:customStyle="1" w:styleId="ListLabel63">
    <w:name w:val="ListLabel 63"/>
    <w:qFormat/>
    <w:rPr>
      <w:b w:val="0"/>
      <w:i w:val="0"/>
      <w:sz w:val="22"/>
    </w:rPr>
  </w:style>
  <w:style w:type="character" w:customStyle="1" w:styleId="ListLabel64">
    <w:name w:val="ListLabel 64"/>
    <w:qFormat/>
    <w:rPr>
      <w:b w:val="0"/>
      <w:i w:val="0"/>
      <w:sz w:val="22"/>
    </w:rPr>
  </w:style>
  <w:style w:type="character" w:customStyle="1" w:styleId="ListLabel65">
    <w:name w:val="ListLabel 65"/>
    <w:qFormat/>
    <w:rPr>
      <w:rFonts w:cs="Times New Roman"/>
      <w:b/>
      <w:bCs/>
      <w:i w:val="0"/>
      <w:iCs w:val="0"/>
      <w:caps/>
      <w:strike w:val="0"/>
      <w:dstrike w:val="0"/>
      <w:outline w:val="0"/>
      <w:shadow w:val="0"/>
      <w:emboss w:val="0"/>
      <w:imprint w:val="0"/>
      <w:vanish w:val="0"/>
      <w:color w:val="00000A"/>
      <w:spacing w:val="0"/>
      <w:w w:val="0"/>
      <w:position w:val="0"/>
      <w:sz w:val="24"/>
      <w:szCs w:val="24"/>
      <w:u w:val="none" w:color="000000"/>
      <w:effect w:val="none"/>
      <w:vertAlign w:val="baseline"/>
      <w:em w:val="none"/>
    </w:rPr>
  </w:style>
  <w:style w:type="character" w:customStyle="1" w:styleId="ListLabel66">
    <w:name w:val="ListLabel 66"/>
    <w:qFormat/>
    <w:rPr>
      <w:vertAlign w:val="superscript"/>
    </w:rPr>
  </w:style>
  <w:style w:type="paragraph" w:customStyle="1" w:styleId="berschrift">
    <w:name w:val="Überschrift"/>
    <w:basedOn w:val="Normal"/>
    <w:next w:val="BodyText"/>
    <w:qFormat/>
    <w:pPr>
      <w:keepNext/>
      <w:spacing w:before="240" w:after="120"/>
    </w:pPr>
    <w:rPr>
      <w:rFonts w:ascii="Liberation Sans" w:eastAsia="Microsoft YaHei" w:hAnsi="Liberation Sans" w:cs="Mangal"/>
      <w:sz w:val="28"/>
      <w:szCs w:val="28"/>
    </w:rPr>
  </w:style>
  <w:style w:type="paragraph" w:styleId="BodyText">
    <w:name w:val="Body Text"/>
    <w:basedOn w:val="Normal"/>
    <w:link w:val="BodyTextChar"/>
    <w:qFormat/>
    <w:rsid w:val="008D1694"/>
    <w:pPr>
      <w:spacing w:after="120"/>
      <w:jc w:val="both"/>
    </w:p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sz w:val="24"/>
      <w:szCs w:val="24"/>
    </w:rPr>
  </w:style>
  <w:style w:type="paragraph" w:customStyle="1" w:styleId="Verzeichnis">
    <w:name w:val="Verzeichnis"/>
    <w:basedOn w:val="Normal"/>
    <w:qFormat/>
    <w:pPr>
      <w:suppressLineNumbers/>
    </w:pPr>
    <w:rPr>
      <w:rFonts w:cs="Mangal"/>
    </w:rPr>
  </w:style>
  <w:style w:type="paragraph" w:styleId="BodyTextIndent">
    <w:name w:val="Body Text Indent"/>
    <w:basedOn w:val="Normal"/>
    <w:link w:val="BodyTextIndentChar"/>
    <w:rsid w:val="008D1694"/>
    <w:pPr>
      <w:spacing w:after="120"/>
      <w:ind w:left="567"/>
    </w:pPr>
  </w:style>
  <w:style w:type="paragraph" w:customStyle="1" w:styleId="Annex">
    <w:name w:val="Annex"/>
    <w:basedOn w:val="Heading1"/>
    <w:next w:val="Normal"/>
    <w:qFormat/>
    <w:rsid w:val="008D1694"/>
    <w:pPr>
      <w:numPr>
        <w:numId w:val="0"/>
      </w:numPr>
      <w:tabs>
        <w:tab w:val="left" w:pos="1701"/>
      </w:tabs>
      <w:jc w:val="both"/>
    </w:pPr>
    <w:rPr>
      <w:lang w:eastAsia="en-GB"/>
    </w:rPr>
  </w:style>
  <w:style w:type="paragraph" w:customStyle="1" w:styleId="AnnexFigure">
    <w:name w:val="Annex Figure"/>
    <w:basedOn w:val="Normal"/>
    <w:next w:val="Normal"/>
    <w:qFormat/>
    <w:rsid w:val="008D1694"/>
    <w:pPr>
      <w:spacing w:before="120" w:after="120"/>
      <w:jc w:val="center"/>
    </w:pPr>
    <w:rPr>
      <w:i/>
    </w:rPr>
  </w:style>
  <w:style w:type="paragraph" w:customStyle="1" w:styleId="AnnexHeading1">
    <w:name w:val="Annex Heading 1"/>
    <w:basedOn w:val="Normal"/>
    <w:qFormat/>
    <w:rsid w:val="008D1694"/>
    <w:pPr>
      <w:spacing w:before="120" w:after="120"/>
    </w:pPr>
    <w:rPr>
      <w:rFonts w:cs="Arial"/>
      <w:b/>
      <w:caps/>
      <w:sz w:val="24"/>
    </w:rPr>
  </w:style>
  <w:style w:type="paragraph" w:customStyle="1" w:styleId="AnnexHeading2">
    <w:name w:val="Annex Heading 2"/>
    <w:basedOn w:val="Normal"/>
    <w:qFormat/>
    <w:rsid w:val="008D1694"/>
    <w:pPr>
      <w:spacing w:before="120" w:after="120"/>
    </w:pPr>
    <w:rPr>
      <w:rFonts w:cs="Arial"/>
      <w:b/>
    </w:rPr>
  </w:style>
  <w:style w:type="paragraph" w:customStyle="1" w:styleId="AnnexHeading3">
    <w:name w:val="Annex Heading 3"/>
    <w:basedOn w:val="Normal"/>
    <w:next w:val="Normal"/>
    <w:qFormat/>
    <w:rsid w:val="008D1694"/>
    <w:pPr>
      <w:spacing w:before="120" w:after="120"/>
    </w:pPr>
    <w:rPr>
      <w:rFonts w:cs="Arial"/>
    </w:rPr>
  </w:style>
  <w:style w:type="paragraph" w:customStyle="1" w:styleId="AnnexHeading4">
    <w:name w:val="Annex Heading 4"/>
    <w:basedOn w:val="Normal"/>
    <w:qFormat/>
    <w:rsid w:val="008D1694"/>
    <w:pPr>
      <w:spacing w:before="120" w:after="120"/>
    </w:pPr>
    <w:rPr>
      <w:rFonts w:cs="Arial"/>
    </w:rPr>
  </w:style>
  <w:style w:type="paragraph" w:customStyle="1" w:styleId="AnnexTable">
    <w:name w:val="Annex Table"/>
    <w:basedOn w:val="Normal"/>
    <w:next w:val="Normal"/>
    <w:qFormat/>
    <w:rsid w:val="008D1694"/>
    <w:pPr>
      <w:tabs>
        <w:tab w:val="left" w:pos="1418"/>
      </w:tabs>
      <w:spacing w:before="120" w:after="120"/>
      <w:jc w:val="center"/>
    </w:pPr>
    <w:rPr>
      <w:i/>
    </w:rPr>
  </w:style>
  <w:style w:type="paragraph" w:customStyle="1" w:styleId="Bullet1">
    <w:name w:val="Bullet 1"/>
    <w:basedOn w:val="Normal"/>
    <w:qFormat/>
    <w:rsid w:val="001C44A3"/>
    <w:pPr>
      <w:tabs>
        <w:tab w:val="left" w:pos="1134"/>
      </w:tabs>
      <w:spacing w:after="120"/>
      <w:ind w:left="1134" w:hanging="567"/>
      <w:jc w:val="both"/>
      <w:outlineLvl w:val="0"/>
    </w:pPr>
    <w:rPr>
      <w:rFonts w:cs="Arial"/>
      <w:lang w:eastAsia="de-DE"/>
    </w:rPr>
  </w:style>
  <w:style w:type="paragraph" w:customStyle="1" w:styleId="Bullet1text">
    <w:name w:val="Bullet 1 text"/>
    <w:basedOn w:val="Normal"/>
    <w:qFormat/>
    <w:rsid w:val="008D1694"/>
    <w:pPr>
      <w:suppressAutoHyphens/>
      <w:spacing w:after="120"/>
      <w:ind w:left="1134"/>
      <w:jc w:val="both"/>
    </w:pPr>
    <w:rPr>
      <w:rFonts w:cs="Arial"/>
      <w:lang w:val="fr-FR"/>
    </w:rPr>
  </w:style>
  <w:style w:type="paragraph" w:customStyle="1" w:styleId="Bullet2">
    <w:name w:val="Bullet 2"/>
    <w:basedOn w:val="Normal"/>
    <w:qFormat/>
    <w:rsid w:val="001C44A3"/>
    <w:pPr>
      <w:tabs>
        <w:tab w:val="left" w:pos="1701"/>
      </w:tabs>
      <w:spacing w:after="120"/>
      <w:ind w:left="1701" w:hanging="567"/>
      <w:jc w:val="both"/>
    </w:pPr>
    <w:rPr>
      <w:rFonts w:cs="Arial"/>
    </w:rPr>
  </w:style>
  <w:style w:type="paragraph" w:customStyle="1" w:styleId="Bullet2text">
    <w:name w:val="Bullet 2 text"/>
    <w:basedOn w:val="Normal"/>
    <w:qFormat/>
    <w:rsid w:val="008D1694"/>
    <w:pPr>
      <w:suppressAutoHyphens/>
      <w:spacing w:after="120"/>
      <w:ind w:left="1701"/>
      <w:jc w:val="both"/>
    </w:pPr>
    <w:rPr>
      <w:rFonts w:cs="Arial"/>
    </w:rPr>
  </w:style>
  <w:style w:type="paragraph" w:customStyle="1" w:styleId="Bullet3">
    <w:name w:val="Bullet 3"/>
    <w:basedOn w:val="Normal"/>
    <w:qFormat/>
    <w:rsid w:val="00CF1871"/>
    <w:pPr>
      <w:tabs>
        <w:tab w:val="left" w:pos="2268"/>
      </w:tabs>
      <w:spacing w:after="60"/>
      <w:ind w:left="2268" w:hanging="567"/>
      <w:jc w:val="both"/>
    </w:pPr>
    <w:rPr>
      <w:rFonts w:cs="Arial"/>
      <w:sz w:val="20"/>
    </w:rPr>
  </w:style>
  <w:style w:type="paragraph" w:customStyle="1" w:styleId="Bullet3text">
    <w:name w:val="Bullet 3 text"/>
    <w:basedOn w:val="Normal"/>
    <w:qFormat/>
    <w:rsid w:val="008D1694"/>
    <w:pPr>
      <w:suppressAutoHyphens/>
      <w:spacing w:after="60"/>
      <w:ind w:left="2268"/>
    </w:pPr>
    <w:rPr>
      <w:rFonts w:cs="Arial"/>
      <w:sz w:val="20"/>
    </w:rPr>
  </w:style>
  <w:style w:type="paragraph" w:customStyle="1" w:styleId="Figure">
    <w:name w:val="Figure_#"/>
    <w:basedOn w:val="Normal"/>
    <w:next w:val="Normal"/>
    <w:qFormat/>
    <w:rsid w:val="008D1694"/>
    <w:pPr>
      <w:spacing w:before="120" w:after="120"/>
      <w:jc w:val="center"/>
    </w:pPr>
    <w:rPr>
      <w:i/>
      <w:szCs w:val="20"/>
    </w:rPr>
  </w:style>
  <w:style w:type="paragraph" w:styleId="Footer">
    <w:name w:val="footer"/>
    <w:basedOn w:val="Normal"/>
    <w:link w:val="FooterChar"/>
    <w:rsid w:val="008D1694"/>
    <w:pPr>
      <w:tabs>
        <w:tab w:val="center" w:pos="4820"/>
        <w:tab w:val="right" w:pos="9639"/>
      </w:tabs>
    </w:pPr>
  </w:style>
  <w:style w:type="paragraph" w:styleId="Header">
    <w:name w:val="header"/>
    <w:basedOn w:val="Normal"/>
    <w:link w:val="HeaderChar"/>
    <w:rsid w:val="008D1694"/>
    <w:pPr>
      <w:tabs>
        <w:tab w:val="center" w:pos="4820"/>
        <w:tab w:val="right" w:pos="9639"/>
      </w:tabs>
    </w:pPr>
  </w:style>
  <w:style w:type="paragraph" w:customStyle="1" w:styleId="Aufzhlungszeichen31">
    <w:name w:val="Aufzählungszeichen 31"/>
    <w:basedOn w:val="Normal"/>
    <w:qFormat/>
    <w:rsid w:val="002E6B74"/>
    <w:pPr>
      <w:spacing w:after="120"/>
      <w:jc w:val="both"/>
    </w:pPr>
    <w:rPr>
      <w:rFonts w:eastAsia="MS Mincho"/>
      <w:lang w:eastAsia="ja-JP"/>
    </w:rPr>
  </w:style>
  <w:style w:type="paragraph" w:customStyle="1" w:styleId="List1indent2">
    <w:name w:val="List 1 indent 2"/>
    <w:basedOn w:val="Normal"/>
    <w:qFormat/>
    <w:rsid w:val="00765622"/>
    <w:pPr>
      <w:widowControl w:val="0"/>
      <w:spacing w:after="120"/>
      <w:jc w:val="both"/>
    </w:pPr>
    <w:rPr>
      <w:rFonts w:cs="Arial"/>
      <w:sz w:val="20"/>
      <w:szCs w:val="20"/>
    </w:rPr>
  </w:style>
  <w:style w:type="paragraph" w:customStyle="1" w:styleId="List1indent2text">
    <w:name w:val="List 1 indent 2 text"/>
    <w:basedOn w:val="Normal"/>
    <w:qFormat/>
    <w:rsid w:val="008D1694"/>
    <w:pPr>
      <w:spacing w:after="60"/>
      <w:ind w:left="1701"/>
      <w:jc w:val="both"/>
    </w:pPr>
    <w:rPr>
      <w:rFonts w:cs="Arial"/>
      <w:sz w:val="20"/>
    </w:rPr>
  </w:style>
  <w:style w:type="paragraph" w:customStyle="1" w:styleId="List1indenttext">
    <w:name w:val="List 1 indent text"/>
    <w:basedOn w:val="Normal"/>
    <w:qFormat/>
    <w:rsid w:val="008D1694"/>
    <w:pPr>
      <w:spacing w:after="120"/>
      <w:ind w:left="1134"/>
      <w:jc w:val="both"/>
    </w:pPr>
    <w:rPr>
      <w:szCs w:val="20"/>
    </w:rPr>
  </w:style>
  <w:style w:type="paragraph" w:customStyle="1" w:styleId="List1text">
    <w:name w:val="List 1 text"/>
    <w:basedOn w:val="Normal"/>
    <w:qFormat/>
    <w:rsid w:val="008D1694"/>
    <w:pPr>
      <w:spacing w:after="120"/>
      <w:ind w:left="567"/>
    </w:pPr>
    <w:rPr>
      <w:rFonts w:cs="Arial"/>
    </w:rPr>
  </w:style>
  <w:style w:type="paragraph" w:styleId="TableofFigures">
    <w:name w:val="table of figures"/>
    <w:basedOn w:val="Normal"/>
    <w:next w:val="Normal"/>
    <w:uiPriority w:val="99"/>
    <w:qFormat/>
    <w:rsid w:val="00A8553A"/>
    <w:pPr>
      <w:tabs>
        <w:tab w:val="left" w:pos="1418"/>
        <w:tab w:val="right" w:pos="9639"/>
      </w:tabs>
      <w:spacing w:before="60" w:after="60"/>
      <w:ind w:left="1418" w:right="282" w:hanging="1418"/>
    </w:pPr>
    <w:rPr>
      <w:rFonts w:eastAsia="Times New Roman" w:cs="Times New Roman"/>
      <w:szCs w:val="24"/>
      <w:lang w:eastAsia="en-US"/>
    </w:rPr>
  </w:style>
  <w:style w:type="paragraph" w:customStyle="1" w:styleId="Table">
    <w:name w:val="Table_#"/>
    <w:basedOn w:val="Normal"/>
    <w:next w:val="Normal"/>
    <w:qFormat/>
    <w:rsid w:val="008D1694"/>
    <w:pPr>
      <w:spacing w:before="120" w:after="120"/>
      <w:jc w:val="center"/>
    </w:pPr>
    <w:rPr>
      <w:i/>
      <w:szCs w:val="20"/>
    </w:rPr>
  </w:style>
  <w:style w:type="paragraph" w:styleId="TOC1">
    <w:name w:val="toc 1"/>
    <w:basedOn w:val="Normal"/>
    <w:next w:val="Normal"/>
    <w:uiPriority w:val="39"/>
    <w:rsid w:val="00960BB8"/>
    <w:pPr>
      <w:tabs>
        <w:tab w:val="left" w:pos="567"/>
        <w:tab w:val="right" w:pos="9639"/>
      </w:tabs>
      <w:spacing w:before="120"/>
      <w:ind w:right="284"/>
    </w:pPr>
    <w:rPr>
      <w:rFonts w:eastAsia="Times New Roman" w:cs="Arial"/>
      <w:bCs/>
      <w:iCs/>
      <w:caps/>
      <w:lang w:eastAsia="en-US"/>
    </w:rPr>
  </w:style>
  <w:style w:type="paragraph" w:styleId="TOC2">
    <w:name w:val="toc 2"/>
    <w:basedOn w:val="Normal"/>
    <w:next w:val="Normal"/>
    <w:uiPriority w:val="39"/>
    <w:rsid w:val="001F528A"/>
    <w:pPr>
      <w:tabs>
        <w:tab w:val="left" w:pos="1418"/>
        <w:tab w:val="right" w:pos="9639"/>
      </w:tabs>
      <w:spacing w:before="120"/>
      <w:ind w:left="1418" w:right="284" w:hanging="851"/>
    </w:pPr>
    <w:rPr>
      <w:rFonts w:eastAsia="Times New Roman" w:cs="Times New Roman"/>
      <w:bCs/>
      <w:szCs w:val="26"/>
      <w:lang w:eastAsia="en-US"/>
    </w:rPr>
  </w:style>
  <w:style w:type="paragraph" w:styleId="TOC3">
    <w:name w:val="toc 3"/>
    <w:basedOn w:val="Normal"/>
    <w:next w:val="Normal"/>
    <w:uiPriority w:val="39"/>
    <w:rsid w:val="001F528A"/>
    <w:pPr>
      <w:tabs>
        <w:tab w:val="left" w:pos="2268"/>
        <w:tab w:val="right" w:pos="9639"/>
      </w:tabs>
      <w:ind w:left="2268" w:right="284" w:hanging="850"/>
    </w:pPr>
    <w:rPr>
      <w:rFonts w:ascii="Calibri" w:eastAsia="Times New Roman" w:hAnsi="Calibri" w:cs="Times New Roman"/>
    </w:rPr>
  </w:style>
  <w:style w:type="paragraph" w:styleId="TOC4">
    <w:name w:val="toc 4"/>
    <w:basedOn w:val="Normal"/>
    <w:next w:val="Normal"/>
    <w:uiPriority w:val="39"/>
    <w:rsid w:val="00960BB8"/>
    <w:pPr>
      <w:tabs>
        <w:tab w:val="left" w:pos="1418"/>
        <w:tab w:val="right" w:pos="9639"/>
      </w:tabs>
      <w:spacing w:before="120" w:after="120"/>
      <w:ind w:left="1418" w:right="284" w:hanging="1418"/>
    </w:pPr>
    <w:rPr>
      <w:rFonts w:eastAsia="Times New Roman" w:cs="Times New Roman"/>
      <w:b/>
      <w:caps/>
      <w:szCs w:val="24"/>
      <w:lang w:eastAsia="en-US"/>
    </w:rPr>
  </w:style>
  <w:style w:type="paragraph" w:styleId="TOC5">
    <w:name w:val="toc 5"/>
    <w:basedOn w:val="Normal"/>
    <w:next w:val="Normal"/>
    <w:autoRedefine/>
    <w:semiHidden/>
    <w:rsid w:val="00960BB8"/>
    <w:pPr>
      <w:ind w:left="880"/>
    </w:pPr>
    <w:rPr>
      <w:rFonts w:ascii="Times New Roman" w:eastAsia="Times New Roman" w:hAnsi="Times New Roman" w:cs="Times New Roman"/>
      <w:szCs w:val="24"/>
      <w:lang w:eastAsia="en-US"/>
    </w:rPr>
  </w:style>
  <w:style w:type="paragraph" w:styleId="TOC6">
    <w:name w:val="toc 6"/>
    <w:basedOn w:val="Normal"/>
    <w:next w:val="Normal"/>
    <w:autoRedefine/>
    <w:semiHidden/>
    <w:rsid w:val="00960BB8"/>
    <w:pPr>
      <w:ind w:left="1100"/>
    </w:pPr>
    <w:rPr>
      <w:rFonts w:ascii="Times New Roman" w:eastAsia="Times New Roman" w:hAnsi="Times New Roman" w:cs="Times New Roman"/>
      <w:szCs w:val="24"/>
      <w:lang w:eastAsia="en-US"/>
    </w:rPr>
  </w:style>
  <w:style w:type="paragraph" w:styleId="TOC7">
    <w:name w:val="toc 7"/>
    <w:basedOn w:val="Normal"/>
    <w:next w:val="Normal"/>
    <w:autoRedefine/>
    <w:semiHidden/>
    <w:rsid w:val="00243228"/>
    <w:pPr>
      <w:ind w:left="1200"/>
    </w:pPr>
    <w:rPr>
      <w:sz w:val="20"/>
      <w:szCs w:val="20"/>
    </w:rPr>
  </w:style>
  <w:style w:type="paragraph" w:styleId="TOC8">
    <w:name w:val="toc 8"/>
    <w:basedOn w:val="Normal"/>
    <w:next w:val="Normal"/>
    <w:autoRedefine/>
    <w:semiHidden/>
    <w:rsid w:val="00243228"/>
    <w:pPr>
      <w:ind w:left="1440"/>
    </w:pPr>
    <w:rPr>
      <w:sz w:val="20"/>
      <w:szCs w:val="20"/>
    </w:rPr>
  </w:style>
  <w:style w:type="paragraph" w:styleId="TOC9">
    <w:name w:val="toc 9"/>
    <w:basedOn w:val="Normal"/>
    <w:next w:val="Normal"/>
    <w:autoRedefine/>
    <w:semiHidden/>
    <w:rsid w:val="00243228"/>
    <w:pPr>
      <w:ind w:left="1680"/>
    </w:pPr>
    <w:rPr>
      <w:sz w:val="20"/>
      <w:szCs w:val="20"/>
    </w:rPr>
  </w:style>
  <w:style w:type="paragraph" w:styleId="BodyTextIndent2">
    <w:name w:val="Body Text Indent 2"/>
    <w:basedOn w:val="Normal"/>
    <w:link w:val="BodyTextIndent2Char"/>
    <w:qFormat/>
    <w:rsid w:val="008D1694"/>
    <w:pPr>
      <w:spacing w:after="120"/>
      <w:ind w:left="1134"/>
      <w:jc w:val="both"/>
    </w:pPr>
    <w:rPr>
      <w:lang w:eastAsia="de-DE"/>
    </w:rPr>
  </w:style>
  <w:style w:type="paragraph" w:styleId="FootnoteText">
    <w:name w:val="footnote text"/>
    <w:basedOn w:val="Normal"/>
    <w:link w:val="FootnoteTextChar"/>
    <w:semiHidden/>
    <w:qFormat/>
    <w:rsid w:val="00243228"/>
    <w:rPr>
      <w:sz w:val="20"/>
      <w:szCs w:val="20"/>
    </w:rPr>
  </w:style>
  <w:style w:type="paragraph" w:styleId="Subtitle">
    <w:name w:val="Subtitle"/>
    <w:basedOn w:val="Normal"/>
    <w:link w:val="SubtitleChar"/>
    <w:qFormat/>
    <w:rsid w:val="008D1694"/>
    <w:pPr>
      <w:spacing w:after="60"/>
      <w:jc w:val="center"/>
      <w:outlineLvl w:val="1"/>
    </w:pPr>
    <w:rPr>
      <w:rFonts w:cs="Arial"/>
    </w:rPr>
  </w:style>
  <w:style w:type="paragraph" w:styleId="Title">
    <w:name w:val="Title"/>
    <w:basedOn w:val="Normal"/>
    <w:link w:val="TitleChar"/>
    <w:qFormat/>
    <w:rsid w:val="00943E9C"/>
    <w:pPr>
      <w:spacing w:before="120" w:after="240"/>
      <w:jc w:val="center"/>
      <w:outlineLvl w:val="0"/>
    </w:pPr>
    <w:rPr>
      <w:rFonts w:cs="Arial"/>
      <w:b/>
      <w:bCs/>
      <w:sz w:val="32"/>
      <w:szCs w:val="32"/>
    </w:rPr>
  </w:style>
  <w:style w:type="paragraph" w:customStyle="1" w:styleId="List1indent1">
    <w:name w:val="List 1 indent 1"/>
    <w:basedOn w:val="Normal"/>
    <w:qFormat/>
    <w:rsid w:val="00765622"/>
    <w:pPr>
      <w:spacing w:after="120"/>
      <w:jc w:val="both"/>
    </w:pPr>
    <w:rPr>
      <w:rFonts w:cs="Arial"/>
    </w:rPr>
  </w:style>
  <w:style w:type="paragraph" w:customStyle="1" w:styleId="List1indent1text">
    <w:name w:val="List 1 indent 1 text"/>
    <w:basedOn w:val="Normal"/>
    <w:qFormat/>
    <w:rsid w:val="008D1694"/>
    <w:pPr>
      <w:spacing w:after="120"/>
      <w:ind w:left="1134"/>
      <w:jc w:val="both"/>
    </w:pPr>
    <w:rPr>
      <w:rFonts w:cs="Arial"/>
      <w:lang w:eastAsia="fr-FR"/>
    </w:rPr>
  </w:style>
  <w:style w:type="paragraph" w:customStyle="1" w:styleId="References">
    <w:name w:val="References"/>
    <w:basedOn w:val="Normal"/>
    <w:qFormat/>
    <w:rsid w:val="008D1694"/>
    <w:pPr>
      <w:spacing w:after="120"/>
    </w:pPr>
    <w:rPr>
      <w:szCs w:val="20"/>
    </w:rPr>
  </w:style>
  <w:style w:type="paragraph" w:customStyle="1" w:styleId="AppendixHeading1">
    <w:name w:val="Appendix Heading 1"/>
    <w:basedOn w:val="Normal"/>
    <w:qFormat/>
    <w:rsid w:val="008D1694"/>
    <w:pPr>
      <w:spacing w:before="120" w:after="120"/>
    </w:pPr>
    <w:rPr>
      <w:rFonts w:cs="Arial"/>
      <w:b/>
      <w:caps/>
      <w:sz w:val="24"/>
    </w:rPr>
  </w:style>
  <w:style w:type="paragraph" w:customStyle="1" w:styleId="AppendixHeading2">
    <w:name w:val="Appendix Heading 2"/>
    <w:basedOn w:val="Normal"/>
    <w:qFormat/>
    <w:rsid w:val="008D1694"/>
    <w:pPr>
      <w:spacing w:before="120" w:after="120"/>
    </w:pPr>
    <w:rPr>
      <w:rFonts w:cs="Arial"/>
      <w:b/>
    </w:rPr>
  </w:style>
  <w:style w:type="paragraph" w:customStyle="1" w:styleId="AppendixHeading3">
    <w:name w:val="Appendix Heading 3"/>
    <w:basedOn w:val="Normal"/>
    <w:next w:val="Normal"/>
    <w:qFormat/>
    <w:rsid w:val="008D1694"/>
    <w:pPr>
      <w:spacing w:before="120" w:after="120"/>
    </w:pPr>
    <w:rPr>
      <w:rFonts w:cs="Arial"/>
    </w:rPr>
  </w:style>
  <w:style w:type="paragraph" w:customStyle="1" w:styleId="AppendixHeading4">
    <w:name w:val="Appendix Heading 4"/>
    <w:basedOn w:val="Normal"/>
    <w:qFormat/>
    <w:rsid w:val="008D1694"/>
    <w:pPr>
      <w:spacing w:before="120" w:after="120"/>
    </w:pPr>
    <w:rPr>
      <w:rFonts w:cs="Arial"/>
    </w:rPr>
  </w:style>
  <w:style w:type="paragraph" w:customStyle="1" w:styleId="equation">
    <w:name w:val="equation"/>
    <w:basedOn w:val="Normal"/>
    <w:qFormat/>
    <w:rsid w:val="008A50CC"/>
    <w:pPr>
      <w:keepNext/>
      <w:tabs>
        <w:tab w:val="left" w:pos="142"/>
      </w:tabs>
      <w:spacing w:after="120"/>
      <w:jc w:val="right"/>
    </w:pPr>
    <w:rPr>
      <w:rFonts w:eastAsia="Times New Roman" w:cs="Times New Roman"/>
      <w:szCs w:val="24"/>
      <w:lang w:eastAsia="en-US"/>
    </w:rPr>
  </w:style>
  <w:style w:type="paragraph" w:customStyle="1" w:styleId="Appendix">
    <w:name w:val="Appendix"/>
    <w:basedOn w:val="Normal"/>
    <w:next w:val="Normal"/>
    <w:qFormat/>
    <w:rsid w:val="002E6FCA"/>
    <w:pPr>
      <w:spacing w:before="120" w:after="240"/>
      <w:ind w:left="1985" w:hanging="1985"/>
    </w:pPr>
    <w:rPr>
      <w:b/>
      <w:sz w:val="24"/>
      <w:szCs w:val="28"/>
      <w:lang w:eastAsia="en-US"/>
    </w:rPr>
  </w:style>
  <w:style w:type="paragraph" w:styleId="BalloonText">
    <w:name w:val="Balloon Text"/>
    <w:basedOn w:val="Normal"/>
    <w:link w:val="BalloonTextChar"/>
    <w:uiPriority w:val="99"/>
    <w:semiHidden/>
    <w:unhideWhenUsed/>
    <w:qFormat/>
    <w:rsid w:val="008A356F"/>
    <w:rPr>
      <w:rFonts w:ascii="Tahoma" w:hAnsi="Tahoma" w:cs="Tahoma"/>
      <w:sz w:val="16"/>
      <w:szCs w:val="16"/>
    </w:rPr>
  </w:style>
  <w:style w:type="paragraph" w:styleId="ListParagraph">
    <w:name w:val="List Paragraph"/>
    <w:basedOn w:val="Normal"/>
    <w:uiPriority w:val="34"/>
    <w:qFormat/>
    <w:rsid w:val="00420A38"/>
    <w:pPr>
      <w:ind w:left="720"/>
      <w:contextualSpacing/>
    </w:pPr>
  </w:style>
  <w:style w:type="paragraph" w:styleId="CommentText">
    <w:name w:val="annotation text"/>
    <w:basedOn w:val="Normal"/>
    <w:link w:val="CommentTextChar"/>
    <w:uiPriority w:val="99"/>
    <w:semiHidden/>
    <w:unhideWhenUsed/>
    <w:qFormat/>
    <w:rsid w:val="00EA5A97"/>
    <w:rPr>
      <w:sz w:val="20"/>
      <w:szCs w:val="20"/>
    </w:rPr>
  </w:style>
  <w:style w:type="paragraph" w:styleId="CommentSubject">
    <w:name w:val="annotation subject"/>
    <w:basedOn w:val="CommentText"/>
    <w:link w:val="CommentSubjectChar"/>
    <w:uiPriority w:val="99"/>
    <w:semiHidden/>
    <w:unhideWhenUsed/>
    <w:qFormat/>
    <w:rsid w:val="00EA5A97"/>
    <w:rPr>
      <w:b/>
      <w:bCs/>
    </w:rPr>
  </w:style>
  <w:style w:type="paragraph" w:customStyle="1" w:styleId="Default">
    <w:name w:val="Default"/>
    <w:qFormat/>
    <w:rsid w:val="00C5284B"/>
    <w:rPr>
      <w:rFonts w:ascii="Arial" w:hAnsi="Arial" w:cs="Arial"/>
      <w:color w:val="000000"/>
      <w:sz w:val="24"/>
      <w:szCs w:val="24"/>
      <w:lang w:val="en-US"/>
    </w:rPr>
  </w:style>
  <w:style w:type="paragraph" w:customStyle="1" w:styleId="TabellenInhalt">
    <w:name w:val="Tabellen Inhalt"/>
    <w:basedOn w:val="Normal"/>
    <w:qFormat/>
  </w:style>
  <w:style w:type="paragraph" w:customStyle="1" w:styleId="Tabellenberschrift">
    <w:name w:val="Tabellen Überschrift"/>
    <w:basedOn w:val="TabellenInhalt"/>
    <w:qFormat/>
  </w:style>
  <w:style w:type="numbering" w:styleId="ArticleSection">
    <w:name w:val="Outline List 3"/>
    <w:qFormat/>
    <w:rsid w:val="008D1694"/>
  </w:style>
  <w:style w:type="table" w:styleId="TableGrid">
    <w:name w:val="Table Grid"/>
    <w:basedOn w:val="TableNormal"/>
    <w:uiPriority w:val="59"/>
    <w:rsid w:val="00783FE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B3EACB-54F1-4ABE-81E9-334F95BD4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3368</Words>
  <Characters>19203</Characters>
  <Application>Microsoft Office Word</Application>
  <DocSecurity>0</DocSecurity>
  <Lines>160</Lines>
  <Paragraphs>45</Paragraphs>
  <ScaleCrop>false</ScaleCrop>
  <HeadingPairs>
    <vt:vector size="2" baseType="variant">
      <vt:variant>
        <vt:lpstr>Titel</vt:lpstr>
      </vt:variant>
      <vt:variant>
        <vt:i4>1</vt:i4>
      </vt:variant>
    </vt:vector>
  </HeadingPairs>
  <TitlesOfParts>
    <vt:vector size="1" baseType="lpstr">
      <vt:lpstr>DWG1-4.1 (20160225)</vt:lpstr>
    </vt:vector>
  </TitlesOfParts>
  <Company>DLR</Company>
  <LinksUpToDate>false</LinksUpToDate>
  <CharactersWithSpaces>22526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DWG1-4.1 (20160225)</dc:title>
  <dc:subject/>
  <dc:creator>Seamus Doyle</dc:creator>
  <dc:description/>
  <cp:lastModifiedBy>Seamus Doyle</cp:lastModifiedBy>
  <cp:revision>45</cp:revision>
  <dcterms:created xsi:type="dcterms:W3CDTF">2016-03-24T17:40:00Z</dcterms:created>
  <dcterms:modified xsi:type="dcterms:W3CDTF">2016-09-24T14:37:00Z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DLR</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